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A48" w:rsidRDefault="00826A48">
      <w:pPr>
        <w:spacing w:line="240" w:lineRule="auto"/>
        <w:rPr>
          <w:rFonts w:ascii="Times New Roman" w:eastAsia="Times New Roman" w:hAnsi="Times New Roman" w:cs="Times New Roman"/>
          <w:b/>
          <w:sz w:val="28"/>
          <w:szCs w:val="28"/>
        </w:rPr>
      </w:pPr>
    </w:p>
    <w:p w:rsidR="0092797C" w:rsidRDefault="0092797C" w:rsidP="004A598B">
      <w:pPr>
        <w:spacing w:line="360" w:lineRule="auto"/>
        <w:jc w:val="center"/>
        <w:rPr>
          <w:rFonts w:ascii="Calibri" w:eastAsiaTheme="minorEastAsia" w:hAnsi="Calibri" w:cstheme="minorBidi"/>
          <w:b/>
          <w:sz w:val="28"/>
          <w:lang w:val="en-US" w:eastAsia="en-US"/>
        </w:rPr>
      </w:pPr>
      <w:r w:rsidRPr="0092797C">
        <w:rPr>
          <w:rFonts w:ascii="Calibri" w:eastAsiaTheme="minorEastAsia" w:hAnsi="Calibri" w:cstheme="minorBidi"/>
          <w:b/>
          <w:sz w:val="28"/>
          <w:lang w:val="en-US" w:eastAsia="en-US"/>
        </w:rPr>
        <w:t>ARMAZENAMENTO E DESCARTE DE MEDICAMENTOS DOMICILIARES POR IDOSOS: RISCOS AMBIENTAIS E SANITÁRIOS</w:t>
      </w:r>
      <w:r w:rsidR="008D3098" w:rsidRPr="008D3098">
        <w:rPr>
          <w:rFonts w:ascii="Calibri" w:eastAsiaTheme="minorEastAsia" w:hAnsi="Calibri" w:cstheme="minorBidi"/>
          <w:b/>
          <w:sz w:val="28"/>
          <w:vertAlign w:val="superscript"/>
          <w:lang w:eastAsia="en-US"/>
        </w:rPr>
        <w:footnoteReference w:id="1"/>
      </w:r>
    </w:p>
    <w:p w:rsidR="004A598B" w:rsidRPr="0092797C" w:rsidRDefault="004A598B" w:rsidP="004A598B">
      <w:pPr>
        <w:spacing w:line="360" w:lineRule="auto"/>
        <w:jc w:val="center"/>
        <w:rPr>
          <w:rFonts w:ascii="Calibri" w:eastAsiaTheme="minorEastAsia" w:hAnsi="Calibri" w:cstheme="minorBidi"/>
          <w:b/>
          <w:sz w:val="28"/>
          <w:lang w:val="en-US" w:eastAsia="en-US"/>
        </w:rPr>
      </w:pPr>
    </w:p>
    <w:p w:rsidR="00826A48" w:rsidRDefault="0092797C">
      <w:pPr>
        <w:jc w:val="center"/>
        <w:rPr>
          <w:rFonts w:ascii="Calibri" w:eastAsia="Calibri" w:hAnsi="Calibri" w:cs="Calibri"/>
          <w:b/>
        </w:rPr>
      </w:pPr>
      <w:r>
        <w:rPr>
          <w:rFonts w:ascii="Calibri" w:eastAsia="Calibri" w:hAnsi="Calibri" w:cs="Calibri"/>
          <w:b/>
        </w:rPr>
        <w:t>Ydia Mariele Valadares</w:t>
      </w:r>
      <w:r w:rsidR="000C0B27">
        <w:rPr>
          <w:rFonts w:ascii="Calibri" w:eastAsia="Calibri" w:hAnsi="Calibri" w:cs="Calibri"/>
          <w:b/>
          <w:vertAlign w:val="superscript"/>
        </w:rPr>
        <w:footnoteReference w:id="2"/>
      </w:r>
    </w:p>
    <w:p w:rsidR="00826A48" w:rsidRDefault="0092797C">
      <w:pPr>
        <w:jc w:val="center"/>
        <w:rPr>
          <w:rFonts w:ascii="Calibri" w:eastAsia="Calibri" w:hAnsi="Calibri" w:cs="Calibri"/>
          <w:b/>
        </w:rPr>
      </w:pPr>
      <w:r>
        <w:rPr>
          <w:rFonts w:ascii="Calibri" w:eastAsia="Calibri" w:hAnsi="Calibri" w:cs="Calibri"/>
          <w:b/>
        </w:rPr>
        <w:t>UFJF-GV</w:t>
      </w:r>
    </w:p>
    <w:p w:rsidR="00DA726F" w:rsidRDefault="00DA726F">
      <w:pPr>
        <w:jc w:val="center"/>
        <w:rPr>
          <w:rFonts w:ascii="Calibri" w:eastAsia="Calibri" w:hAnsi="Calibri" w:cs="Calibri"/>
          <w:b/>
        </w:rPr>
      </w:pPr>
    </w:p>
    <w:p w:rsidR="00826A48" w:rsidRDefault="0092797C">
      <w:pPr>
        <w:jc w:val="center"/>
        <w:rPr>
          <w:rFonts w:ascii="Calibri" w:eastAsia="Calibri" w:hAnsi="Calibri" w:cs="Calibri"/>
          <w:b/>
        </w:rPr>
      </w:pPr>
      <w:r>
        <w:rPr>
          <w:rFonts w:ascii="Calibri" w:eastAsia="Calibri" w:hAnsi="Calibri" w:cs="Calibri"/>
          <w:b/>
        </w:rPr>
        <w:t>Leonardo Lemos da Silveira Santos</w:t>
      </w:r>
      <w:r w:rsidR="000C0B27">
        <w:rPr>
          <w:rFonts w:ascii="Calibri" w:eastAsia="Calibri" w:hAnsi="Calibri" w:cs="Calibri"/>
          <w:b/>
          <w:vertAlign w:val="superscript"/>
        </w:rPr>
        <w:footnoteReference w:id="3"/>
      </w:r>
    </w:p>
    <w:p w:rsidR="00826A48" w:rsidRDefault="0092797C">
      <w:pPr>
        <w:jc w:val="center"/>
        <w:rPr>
          <w:rFonts w:ascii="Calibri" w:eastAsia="Calibri" w:hAnsi="Calibri" w:cs="Calibri"/>
          <w:b/>
        </w:rPr>
      </w:pPr>
      <w:r>
        <w:rPr>
          <w:rFonts w:ascii="Calibri" w:eastAsia="Calibri" w:hAnsi="Calibri" w:cs="Calibri"/>
          <w:b/>
        </w:rPr>
        <w:t>UFJF-GV</w:t>
      </w:r>
    </w:p>
    <w:p w:rsidR="00DA726F" w:rsidRDefault="00DA726F">
      <w:pPr>
        <w:jc w:val="center"/>
        <w:rPr>
          <w:rFonts w:ascii="Calibri" w:eastAsia="Calibri" w:hAnsi="Calibri" w:cs="Calibri"/>
          <w:b/>
        </w:rPr>
      </w:pPr>
    </w:p>
    <w:p w:rsidR="00826A48" w:rsidRPr="00A53C45" w:rsidRDefault="00A53C45">
      <w:pPr>
        <w:jc w:val="center"/>
        <w:rPr>
          <w:rFonts w:ascii="Calibri" w:eastAsia="Calibri" w:hAnsi="Calibri" w:cs="Calibri"/>
          <w:b/>
        </w:rPr>
      </w:pPr>
      <w:r w:rsidRPr="00A53C45">
        <w:rPr>
          <w:rFonts w:ascii="Calibri" w:eastAsia="Calibri" w:hAnsi="Calibri" w:cs="Calibri"/>
          <w:b/>
        </w:rPr>
        <w:t>Beatriz Machado Feitosa Alves</w:t>
      </w:r>
      <w:r w:rsidR="000C0B27" w:rsidRPr="00A53C45">
        <w:rPr>
          <w:rFonts w:ascii="Calibri" w:eastAsia="Calibri" w:hAnsi="Calibri" w:cs="Calibri"/>
          <w:b/>
          <w:vertAlign w:val="superscript"/>
        </w:rPr>
        <w:footnoteReference w:id="4"/>
      </w:r>
    </w:p>
    <w:p w:rsidR="00A53C45" w:rsidRDefault="00A53C45" w:rsidP="00A53C45">
      <w:pPr>
        <w:jc w:val="center"/>
        <w:rPr>
          <w:rFonts w:ascii="Calibri" w:eastAsia="Calibri" w:hAnsi="Calibri" w:cs="Calibri"/>
          <w:b/>
        </w:rPr>
      </w:pPr>
      <w:r w:rsidRPr="00A53C45">
        <w:rPr>
          <w:rFonts w:ascii="Calibri" w:eastAsia="Calibri" w:hAnsi="Calibri" w:cs="Calibri"/>
          <w:b/>
        </w:rPr>
        <w:t>UFJF-GV</w:t>
      </w:r>
    </w:p>
    <w:p w:rsidR="00DA726F" w:rsidRPr="00A53C45" w:rsidRDefault="00DA726F" w:rsidP="00A53C45">
      <w:pPr>
        <w:jc w:val="center"/>
        <w:rPr>
          <w:rFonts w:ascii="Calibri" w:eastAsia="Calibri" w:hAnsi="Calibri" w:cs="Calibri"/>
          <w:b/>
        </w:rPr>
      </w:pPr>
    </w:p>
    <w:p w:rsidR="00826A48" w:rsidRPr="00A53C45" w:rsidRDefault="00346784">
      <w:pPr>
        <w:jc w:val="center"/>
        <w:rPr>
          <w:rFonts w:ascii="Calibri" w:eastAsia="Calibri" w:hAnsi="Calibri" w:cs="Calibri"/>
          <w:b/>
        </w:rPr>
      </w:pPr>
      <w:r w:rsidRPr="00A53C45">
        <w:rPr>
          <w:rFonts w:ascii="Calibri" w:eastAsia="Calibri" w:hAnsi="Calibri" w:cs="Calibri"/>
          <w:b/>
        </w:rPr>
        <w:t>Brenda Pires Ferreira</w:t>
      </w:r>
      <w:r w:rsidR="000C0B27" w:rsidRPr="00A53C45">
        <w:rPr>
          <w:rFonts w:ascii="Calibri" w:eastAsia="Calibri" w:hAnsi="Calibri" w:cs="Calibri"/>
          <w:b/>
          <w:vertAlign w:val="superscript"/>
        </w:rPr>
        <w:footnoteReference w:id="5"/>
      </w:r>
    </w:p>
    <w:p w:rsidR="00826A48" w:rsidRDefault="00A53C45" w:rsidP="00A53C45">
      <w:pPr>
        <w:jc w:val="center"/>
        <w:rPr>
          <w:rFonts w:ascii="Calibri" w:eastAsia="Calibri" w:hAnsi="Calibri" w:cs="Calibri"/>
          <w:b/>
        </w:rPr>
      </w:pPr>
      <w:r w:rsidRPr="00A53C45">
        <w:rPr>
          <w:rFonts w:ascii="Calibri" w:eastAsia="Calibri" w:hAnsi="Calibri" w:cs="Calibri"/>
          <w:b/>
        </w:rPr>
        <w:t>UFJF-GV</w:t>
      </w:r>
    </w:p>
    <w:p w:rsidR="00DA726F" w:rsidRPr="00A53C45" w:rsidRDefault="00DA726F" w:rsidP="00A53C45">
      <w:pPr>
        <w:jc w:val="center"/>
        <w:rPr>
          <w:rFonts w:ascii="Calibri" w:eastAsia="Calibri" w:hAnsi="Calibri" w:cs="Calibri"/>
          <w:b/>
        </w:rPr>
      </w:pPr>
    </w:p>
    <w:p w:rsidR="00826A48" w:rsidRPr="00A53C45" w:rsidRDefault="00346784">
      <w:pPr>
        <w:jc w:val="center"/>
        <w:rPr>
          <w:rFonts w:ascii="Calibri" w:eastAsia="Calibri" w:hAnsi="Calibri" w:cs="Calibri"/>
          <w:b/>
        </w:rPr>
      </w:pPr>
      <w:r w:rsidRPr="00A53C45">
        <w:rPr>
          <w:rFonts w:ascii="Calibri" w:eastAsia="Calibri" w:hAnsi="Calibri" w:cs="Calibri"/>
          <w:b/>
        </w:rPr>
        <w:t>Kaylane Simoni De Moraes</w:t>
      </w:r>
      <w:r w:rsidR="00A53C45" w:rsidRPr="00A53C45">
        <w:rPr>
          <w:rFonts w:ascii="Calibri" w:eastAsia="Calibri" w:hAnsi="Calibri" w:cs="Calibri"/>
          <w:b/>
          <w:vertAlign w:val="superscript"/>
        </w:rPr>
        <w:footnoteReference w:id="6"/>
      </w:r>
    </w:p>
    <w:p w:rsidR="00A53C45" w:rsidRDefault="00A53C45" w:rsidP="00A53C45">
      <w:pPr>
        <w:jc w:val="center"/>
        <w:rPr>
          <w:rFonts w:ascii="Calibri" w:eastAsia="Calibri" w:hAnsi="Calibri" w:cs="Calibri"/>
          <w:b/>
        </w:rPr>
      </w:pPr>
      <w:r w:rsidRPr="00A53C45">
        <w:rPr>
          <w:rFonts w:ascii="Calibri" w:eastAsia="Calibri" w:hAnsi="Calibri" w:cs="Calibri"/>
          <w:b/>
        </w:rPr>
        <w:t>UFJF-GV</w:t>
      </w:r>
    </w:p>
    <w:p w:rsidR="00DA726F" w:rsidRPr="00A53C45" w:rsidRDefault="00DA726F" w:rsidP="00A53C45">
      <w:pPr>
        <w:jc w:val="center"/>
        <w:rPr>
          <w:rFonts w:ascii="Calibri" w:eastAsia="Calibri" w:hAnsi="Calibri" w:cs="Calibri"/>
          <w:b/>
        </w:rPr>
      </w:pPr>
    </w:p>
    <w:p w:rsidR="00A53C45" w:rsidRDefault="00346784">
      <w:pPr>
        <w:jc w:val="center"/>
        <w:rPr>
          <w:rFonts w:ascii="Calibri" w:eastAsia="Calibri" w:hAnsi="Calibri" w:cs="Calibri"/>
          <w:b/>
        </w:rPr>
      </w:pPr>
      <w:bookmarkStart w:id="0" w:name="_GoBack"/>
      <w:r w:rsidRPr="00A53C45">
        <w:rPr>
          <w:rFonts w:ascii="Calibri" w:eastAsia="Calibri" w:hAnsi="Calibri" w:cs="Calibri"/>
          <w:b/>
        </w:rPr>
        <w:t>Sandy Alves Bazilio Da Silva</w:t>
      </w:r>
      <w:bookmarkEnd w:id="0"/>
      <w:r w:rsidR="00A53C45" w:rsidRPr="00A53C45">
        <w:rPr>
          <w:rFonts w:ascii="Calibri" w:eastAsia="Calibri" w:hAnsi="Calibri" w:cs="Calibri"/>
          <w:b/>
          <w:vertAlign w:val="superscript"/>
        </w:rPr>
        <w:footnoteReference w:id="7"/>
      </w:r>
    </w:p>
    <w:p w:rsidR="00A53C45" w:rsidRPr="00A53C45" w:rsidRDefault="00A53C45" w:rsidP="00A53C45">
      <w:pPr>
        <w:jc w:val="center"/>
        <w:rPr>
          <w:rFonts w:ascii="Calibri" w:eastAsia="Calibri" w:hAnsi="Calibri" w:cs="Calibri"/>
          <w:b/>
        </w:rPr>
      </w:pPr>
      <w:r w:rsidRPr="00A53C45">
        <w:rPr>
          <w:rFonts w:ascii="Calibri" w:eastAsia="Calibri" w:hAnsi="Calibri" w:cs="Calibri"/>
          <w:b/>
        </w:rPr>
        <w:t>UFJF-GV</w:t>
      </w:r>
    </w:p>
    <w:p w:rsidR="00A53C45" w:rsidRDefault="00A53C45">
      <w:pPr>
        <w:jc w:val="center"/>
        <w:rPr>
          <w:rFonts w:ascii="Calibri" w:eastAsia="Calibri" w:hAnsi="Calibri" w:cs="Calibri"/>
          <w:b/>
        </w:rPr>
      </w:pPr>
    </w:p>
    <w:p w:rsidR="00826A48" w:rsidRDefault="000C0B27">
      <w:pPr>
        <w:spacing w:line="360" w:lineRule="auto"/>
        <w:jc w:val="both"/>
        <w:rPr>
          <w:rFonts w:asciiTheme="majorHAnsi" w:hAnsiTheme="majorHAnsi" w:cstheme="majorHAnsi"/>
        </w:rPr>
      </w:pPr>
      <w:r>
        <w:rPr>
          <w:rFonts w:ascii="Calibri" w:eastAsia="Calibri" w:hAnsi="Calibri" w:cs="Calibri"/>
          <w:b/>
          <w:sz w:val="24"/>
          <w:szCs w:val="24"/>
        </w:rPr>
        <w:t xml:space="preserve">Palavras-chave: </w:t>
      </w:r>
      <w:r w:rsidR="00B617CA" w:rsidRPr="00B617CA">
        <w:rPr>
          <w:rFonts w:asciiTheme="majorHAnsi" w:hAnsiTheme="majorHAnsi" w:cstheme="majorHAnsi"/>
        </w:rPr>
        <w:t>Pessoa Idosa</w:t>
      </w:r>
      <w:r w:rsidR="00DA726F">
        <w:rPr>
          <w:rFonts w:asciiTheme="majorHAnsi" w:hAnsiTheme="majorHAnsi" w:cstheme="majorHAnsi"/>
        </w:rPr>
        <w:t xml:space="preserve"> -</w:t>
      </w:r>
      <w:r w:rsidR="00B617CA" w:rsidRPr="00B617CA">
        <w:rPr>
          <w:rFonts w:asciiTheme="majorHAnsi" w:hAnsiTheme="majorHAnsi" w:cstheme="majorHAnsi"/>
        </w:rPr>
        <w:t xml:space="preserve"> Educação em Saúde</w:t>
      </w:r>
      <w:r w:rsidR="00DA726F">
        <w:rPr>
          <w:rFonts w:asciiTheme="majorHAnsi" w:hAnsiTheme="majorHAnsi" w:cstheme="majorHAnsi"/>
        </w:rPr>
        <w:t xml:space="preserve"> -</w:t>
      </w:r>
      <w:r w:rsidR="00B617CA" w:rsidRPr="00B617CA">
        <w:rPr>
          <w:rFonts w:asciiTheme="majorHAnsi" w:hAnsiTheme="majorHAnsi" w:cstheme="majorHAnsi"/>
        </w:rPr>
        <w:t xml:space="preserve"> Uso Racional de Medicamentos</w:t>
      </w:r>
      <w:r w:rsidR="00DA726F">
        <w:rPr>
          <w:rFonts w:asciiTheme="majorHAnsi" w:hAnsiTheme="majorHAnsi" w:cstheme="majorHAnsi"/>
        </w:rPr>
        <w:t xml:space="preserve"> -</w:t>
      </w:r>
      <w:r w:rsidR="00B617CA" w:rsidRPr="00B617CA">
        <w:rPr>
          <w:rFonts w:asciiTheme="majorHAnsi" w:hAnsiTheme="majorHAnsi" w:cstheme="majorHAnsi"/>
        </w:rPr>
        <w:t xml:space="preserve"> Armazenamento de Medicamentos</w:t>
      </w:r>
      <w:r w:rsidR="00DA726F">
        <w:rPr>
          <w:rFonts w:asciiTheme="majorHAnsi" w:hAnsiTheme="majorHAnsi" w:cstheme="majorHAnsi"/>
        </w:rPr>
        <w:t xml:space="preserve"> -</w:t>
      </w:r>
      <w:r w:rsidR="00B617CA" w:rsidRPr="00B617CA">
        <w:rPr>
          <w:rFonts w:asciiTheme="majorHAnsi" w:hAnsiTheme="majorHAnsi" w:cstheme="majorHAnsi"/>
        </w:rPr>
        <w:t xml:space="preserve"> Descarte de Medicamentos.</w:t>
      </w:r>
    </w:p>
    <w:p w:rsidR="00B617CA" w:rsidRDefault="00B617CA">
      <w:pPr>
        <w:spacing w:line="360" w:lineRule="auto"/>
        <w:jc w:val="both"/>
        <w:rPr>
          <w:rFonts w:ascii="Calibri" w:eastAsia="Calibri" w:hAnsi="Calibri" w:cs="Calibri"/>
          <w:sz w:val="24"/>
          <w:szCs w:val="24"/>
        </w:rPr>
      </w:pPr>
    </w:p>
    <w:p w:rsidR="00826A48" w:rsidRDefault="000C0B27">
      <w:pPr>
        <w:numPr>
          <w:ilvl w:val="0"/>
          <w:numId w:val="4"/>
        </w:numPr>
        <w:spacing w:line="240" w:lineRule="auto"/>
        <w:jc w:val="both"/>
        <w:rPr>
          <w:rFonts w:ascii="Calibri" w:eastAsia="Calibri" w:hAnsi="Calibri" w:cs="Calibri"/>
          <w:b/>
          <w:sz w:val="24"/>
          <w:szCs w:val="24"/>
        </w:rPr>
      </w:pPr>
      <w:r>
        <w:rPr>
          <w:rFonts w:ascii="Calibri" w:eastAsia="Calibri" w:hAnsi="Calibri" w:cs="Calibri"/>
          <w:b/>
          <w:sz w:val="24"/>
          <w:szCs w:val="24"/>
        </w:rPr>
        <w:t>INTRODUÇÃO</w:t>
      </w:r>
    </w:p>
    <w:p w:rsidR="00B617CA" w:rsidRDefault="00B617CA" w:rsidP="00B617CA">
      <w:pPr>
        <w:spacing w:line="240" w:lineRule="auto"/>
        <w:ind w:left="720"/>
        <w:jc w:val="both"/>
        <w:rPr>
          <w:rFonts w:ascii="Calibri" w:eastAsia="Calibri" w:hAnsi="Calibri" w:cs="Calibri"/>
          <w:b/>
          <w:sz w:val="24"/>
          <w:szCs w:val="24"/>
        </w:rPr>
      </w:pPr>
    </w:p>
    <w:p w:rsidR="00B617CA" w:rsidRPr="00844C0A" w:rsidRDefault="00B617CA" w:rsidP="004A598B">
      <w:pPr>
        <w:spacing w:line="360" w:lineRule="auto"/>
        <w:ind w:firstLine="567"/>
        <w:jc w:val="both"/>
        <w:rPr>
          <w:rFonts w:asciiTheme="majorHAnsi" w:hAnsiTheme="majorHAnsi" w:cstheme="majorHAnsi"/>
          <w:sz w:val="24"/>
          <w:szCs w:val="24"/>
        </w:rPr>
      </w:pPr>
      <w:r w:rsidRPr="00844C0A">
        <w:rPr>
          <w:rFonts w:asciiTheme="majorHAnsi" w:hAnsiTheme="majorHAnsi" w:cstheme="majorHAnsi"/>
          <w:sz w:val="24"/>
          <w:szCs w:val="24"/>
        </w:rPr>
        <w:t>O envelhecimento populacional constitui um fenômeno demográfico mundial, caracterizado pelo aumento da proporção de pessoas idosas em relação aos demais grupos etários. No Brasil, esse processo tem ocorrido de maneira acelerada, acompanhado por transformações nas demandas d</w:t>
      </w:r>
      <w:r w:rsidRPr="00844C0A">
        <w:rPr>
          <w:rFonts w:asciiTheme="majorHAnsi" w:hAnsiTheme="majorHAnsi" w:cstheme="majorHAnsi"/>
          <w:sz w:val="24"/>
          <w:szCs w:val="24"/>
        </w:rPr>
        <w:t>o sistema de</w:t>
      </w:r>
      <w:r w:rsidRPr="00844C0A">
        <w:rPr>
          <w:rFonts w:asciiTheme="majorHAnsi" w:hAnsiTheme="majorHAnsi" w:cstheme="majorHAnsi"/>
          <w:sz w:val="24"/>
          <w:szCs w:val="24"/>
        </w:rPr>
        <w:t xml:space="preserve"> saúde. Segundo o Instituto Brasileiro de </w:t>
      </w:r>
      <w:r w:rsidRPr="00844C0A">
        <w:rPr>
          <w:rFonts w:asciiTheme="majorHAnsi" w:hAnsiTheme="majorHAnsi" w:cstheme="majorHAnsi"/>
          <w:sz w:val="24"/>
          <w:szCs w:val="24"/>
        </w:rPr>
        <w:lastRenderedPageBreak/>
        <w:t>Geografia e Estatística</w:t>
      </w:r>
      <w:r w:rsidRPr="00844C0A">
        <w:rPr>
          <w:rFonts w:asciiTheme="majorHAnsi" w:hAnsiTheme="majorHAnsi" w:cstheme="majorHAnsi"/>
          <w:sz w:val="24"/>
          <w:szCs w:val="24"/>
        </w:rPr>
        <w:t xml:space="preserve"> (IBGE)</w:t>
      </w:r>
      <w:r w:rsidRPr="00844C0A">
        <w:rPr>
          <w:rFonts w:asciiTheme="majorHAnsi" w:hAnsiTheme="majorHAnsi" w:cstheme="majorHAnsi"/>
          <w:sz w:val="24"/>
          <w:szCs w:val="24"/>
        </w:rPr>
        <w:t>, o país possuía 32.113.490 pessoas com 60 anos ou mais em 2022, correspondendo a 15,6% da população. Em 2024, a expectativa de vida ao nascer alcançou 76,6 anos (IBGE, 2025). Em escala mundial, a Organização Mundial da Saúde estima que, até 2030, uma em cada seis pessoas terá 60 anos ou mais (OMS, 2025).</w:t>
      </w:r>
    </w:p>
    <w:p w:rsidR="00B617CA" w:rsidRPr="00844C0A" w:rsidRDefault="00B617CA" w:rsidP="004A598B">
      <w:pPr>
        <w:spacing w:line="360" w:lineRule="auto"/>
        <w:ind w:firstLine="567"/>
        <w:jc w:val="both"/>
        <w:rPr>
          <w:rFonts w:asciiTheme="majorHAnsi" w:hAnsiTheme="majorHAnsi" w:cstheme="majorHAnsi"/>
          <w:sz w:val="24"/>
          <w:szCs w:val="24"/>
        </w:rPr>
      </w:pPr>
      <w:r w:rsidRPr="00844C0A">
        <w:rPr>
          <w:rFonts w:asciiTheme="majorHAnsi" w:hAnsiTheme="majorHAnsi" w:cstheme="majorHAnsi"/>
          <w:sz w:val="24"/>
          <w:szCs w:val="24"/>
        </w:rPr>
        <w:t xml:space="preserve">Em consonância com esse cenário, há o aumento da vulnerabilidade às Doenças Crônicas Não Transmissíveis (DCNT), o que eleva a demanda pelos serviços de saúde. (Ministério da Saúde, 2026). Entre as DCNT mais comuns estão a hipertensão arterial, que acomete cerca de 50% da população idosa, seguida pelo diabetes mellitus, com prevalência aproximada de 20%, além de doenças cardiovasculares, respiratórias crônicas e osteoartrite (Ministério da Saúde 2026). Como consequência do crescimento da logevidade e maior frequência de comorbidades, a polifarmácia (uso concomitante de 5 ou mais medicamentos), tem se tornado uma questão de saúde pública que exige atenção (OMS, 2024). A </w:t>
      </w:r>
      <w:r w:rsidRPr="00844C0A">
        <w:rPr>
          <w:rFonts w:asciiTheme="majorHAnsi" w:hAnsiTheme="majorHAnsi" w:cstheme="majorHAnsi"/>
          <w:sz w:val="24"/>
          <w:szCs w:val="24"/>
        </w:rPr>
        <w:t>polifarmácia, representa um desafio para a segurança do paciente, sobretudo diante das alterações fisiológicas relacionadas ao envelhecimento e das dificuldades no gerenciamento da farmacoterapia (Licoviski et al., 2025; Silva; Trevisan, 2021).</w:t>
      </w:r>
    </w:p>
    <w:p w:rsidR="00B617CA" w:rsidRPr="00844C0A" w:rsidRDefault="00B617CA" w:rsidP="004A598B">
      <w:pPr>
        <w:spacing w:line="360" w:lineRule="auto"/>
        <w:ind w:firstLine="567"/>
        <w:jc w:val="both"/>
        <w:rPr>
          <w:rFonts w:asciiTheme="majorHAnsi" w:hAnsiTheme="majorHAnsi" w:cstheme="majorHAnsi"/>
          <w:sz w:val="24"/>
          <w:szCs w:val="24"/>
        </w:rPr>
      </w:pPr>
      <w:r w:rsidRPr="00844C0A">
        <w:rPr>
          <w:rFonts w:asciiTheme="majorHAnsi" w:hAnsiTheme="majorHAnsi" w:cstheme="majorHAnsi"/>
          <w:sz w:val="24"/>
          <w:szCs w:val="24"/>
        </w:rPr>
        <w:t>A utilização contínua ou eventual de medicamentos contribui para a formação das chamadas farmácias caseiras, constituídas por produtos destinados aos tratamentos em andamento, sobras de prescrições anteriores e medicamentos adquiridos para situações específicas. A automedicação, a manutenção de produtos para eventual necessidade e a permanência de medicamentos após a conclusão dos tratamentos estão entre os fatores associados ao acúmulo domiciliar (Constantino et al., 2020).</w:t>
      </w:r>
    </w:p>
    <w:p w:rsidR="00B617CA" w:rsidRPr="00844C0A" w:rsidRDefault="00B617CA" w:rsidP="004A598B">
      <w:pPr>
        <w:spacing w:line="360" w:lineRule="auto"/>
        <w:ind w:firstLine="567"/>
        <w:jc w:val="both"/>
        <w:rPr>
          <w:rFonts w:asciiTheme="majorHAnsi" w:hAnsiTheme="majorHAnsi" w:cstheme="majorHAnsi"/>
          <w:sz w:val="24"/>
          <w:szCs w:val="24"/>
        </w:rPr>
      </w:pPr>
      <w:r w:rsidRPr="00844C0A">
        <w:rPr>
          <w:rFonts w:asciiTheme="majorHAnsi" w:hAnsiTheme="majorHAnsi" w:cstheme="majorHAnsi"/>
          <w:sz w:val="24"/>
          <w:szCs w:val="24"/>
        </w:rPr>
        <w:t>Quando não são adequadamente organizadas, as farmácias caseiras podem apresentar medicamentos vencidos, sem identificação, armazenados fora das embalagens originais ou expostos a condições inadequadas de temperatura, umidade e luminosidade. Essas situações podem comprometer a estabilidade dos produtos e favorecer erros de administração, intoxicações acidentais e utilização de medicamentos sem indicação atual. Fernandes et al. (2020) identificaram a cozinha entre os locais mais frequentes de armazenamento domiciliar, evidenciando a necessidade de orientações sobre condições adequadas de conservação.</w:t>
      </w:r>
    </w:p>
    <w:p w:rsidR="00B617CA" w:rsidRPr="00844C0A" w:rsidRDefault="00B617CA" w:rsidP="004A598B">
      <w:pPr>
        <w:spacing w:line="360" w:lineRule="auto"/>
        <w:ind w:firstLine="567"/>
        <w:jc w:val="both"/>
        <w:rPr>
          <w:rFonts w:asciiTheme="majorHAnsi" w:hAnsiTheme="majorHAnsi" w:cstheme="majorHAnsi"/>
          <w:sz w:val="24"/>
          <w:szCs w:val="24"/>
        </w:rPr>
      </w:pPr>
      <w:r w:rsidRPr="00844C0A">
        <w:rPr>
          <w:rFonts w:asciiTheme="majorHAnsi" w:hAnsiTheme="majorHAnsi" w:cstheme="majorHAnsi"/>
          <w:sz w:val="24"/>
          <w:szCs w:val="24"/>
        </w:rPr>
        <w:t xml:space="preserve">Entre pessoas idosas, esses riscos podem ser intensificados pela utilização simultânea de diferentes medicamentos, dificuldades visuais, alterações de memória e limitações na compreensão das orientações terapêuticas. A manutenção das embalagens originais, a identificação correta dos medicamentos, a conferência periódica dos prazos de validade e a </w:t>
      </w:r>
      <w:r w:rsidRPr="00844C0A">
        <w:rPr>
          <w:rFonts w:asciiTheme="majorHAnsi" w:hAnsiTheme="majorHAnsi" w:cstheme="majorHAnsi"/>
          <w:sz w:val="24"/>
          <w:szCs w:val="24"/>
        </w:rPr>
        <w:lastRenderedPageBreak/>
        <w:t>escolha de locais apropriados para armazenamento constituem medidas importantes para promover a segurança da farmacoterapia (Anvisa, 2019; Castro; Martins; Miranda, 2025).</w:t>
      </w:r>
    </w:p>
    <w:p w:rsidR="00B617CA" w:rsidRPr="00844C0A" w:rsidRDefault="00B617CA" w:rsidP="004A598B">
      <w:pPr>
        <w:spacing w:line="360" w:lineRule="auto"/>
        <w:ind w:firstLine="567"/>
        <w:jc w:val="both"/>
        <w:rPr>
          <w:rFonts w:asciiTheme="majorHAnsi" w:hAnsiTheme="majorHAnsi" w:cstheme="majorHAnsi"/>
          <w:sz w:val="24"/>
          <w:szCs w:val="24"/>
        </w:rPr>
      </w:pPr>
      <w:r w:rsidRPr="00844C0A">
        <w:rPr>
          <w:rFonts w:asciiTheme="majorHAnsi" w:hAnsiTheme="majorHAnsi" w:cstheme="majorHAnsi"/>
          <w:sz w:val="24"/>
          <w:szCs w:val="24"/>
        </w:rPr>
        <w:t>Além dos cuidados relacionados ao armazenamento, a destinação dos medicamentos vencidos ou em desuso representa uma preocupação sanitária e ambiental. O descarte no lixo comum, em pias ou vasos sanitários pode favorecer a introdução de resíduos farmacêuticos no ambiente, contribuindo para a contaminação do solo e dos recursos hídricos. A falta de informação sobre procedimentos e locais de recebimento constitui um dos fatores associados à persistência dessas práticas (Silva et al., 2023).</w:t>
      </w:r>
    </w:p>
    <w:p w:rsidR="00B617CA" w:rsidRPr="00844C0A" w:rsidRDefault="00B617CA" w:rsidP="004A598B">
      <w:pPr>
        <w:spacing w:line="360" w:lineRule="auto"/>
        <w:ind w:firstLine="567"/>
        <w:jc w:val="both"/>
        <w:rPr>
          <w:rFonts w:asciiTheme="majorHAnsi" w:hAnsiTheme="majorHAnsi" w:cstheme="majorHAnsi"/>
          <w:sz w:val="24"/>
          <w:szCs w:val="24"/>
        </w:rPr>
      </w:pPr>
      <w:r w:rsidRPr="00844C0A">
        <w:rPr>
          <w:rFonts w:asciiTheme="majorHAnsi" w:hAnsiTheme="majorHAnsi" w:cstheme="majorHAnsi"/>
          <w:sz w:val="24"/>
          <w:szCs w:val="24"/>
        </w:rPr>
        <w:t>No Brasil, a Política Nacional de Resíduos Sólidos, instituída pela Lei nº 12.305/2010, estabeleceu princípios para a gestão ambientalmente adequada dos resíduos. O Decreto nº 10.388/2020 regulamentou a logística reversa de medicamentos domiciliares vencidos ou em desuso e de suas embalagens, estabelecendo responsabilidades compartilhadas e mecanismos para seu recebimento e destinação.</w:t>
      </w:r>
    </w:p>
    <w:p w:rsidR="00B617CA" w:rsidRPr="00844C0A" w:rsidRDefault="00B617CA" w:rsidP="004A598B">
      <w:pPr>
        <w:spacing w:line="360" w:lineRule="auto"/>
        <w:ind w:firstLine="567"/>
        <w:jc w:val="both"/>
        <w:rPr>
          <w:rFonts w:asciiTheme="majorHAnsi" w:hAnsiTheme="majorHAnsi" w:cstheme="majorHAnsi"/>
          <w:sz w:val="24"/>
          <w:szCs w:val="24"/>
        </w:rPr>
      </w:pPr>
      <w:r w:rsidRPr="00844C0A">
        <w:rPr>
          <w:rFonts w:asciiTheme="majorHAnsi" w:hAnsiTheme="majorHAnsi" w:cstheme="majorHAnsi"/>
          <w:sz w:val="24"/>
          <w:szCs w:val="24"/>
        </w:rPr>
        <w:t>A existência de instrumentos legais, contudo, não garante isoladamente a adoção de práticas adequadas. A divulgação de informações acessíveis, o esclarecimento de dúvidas e a aproximação entre os serviços de saúde e a comunidade são fundamentais para incentivar comportamentos seguros. A educação em saúde, no âmbito da extensão universitária, possibilita aproximar os conhecimentos acadêmicos das necessidades da população, valorizando experiências cotidianas e promovendo a troca de saberes.</w:t>
      </w:r>
    </w:p>
    <w:p w:rsidR="00B617CA" w:rsidRPr="00844C0A" w:rsidRDefault="00B617CA" w:rsidP="004A598B">
      <w:pPr>
        <w:spacing w:line="360" w:lineRule="auto"/>
        <w:ind w:firstLine="567"/>
        <w:jc w:val="both"/>
        <w:rPr>
          <w:rFonts w:asciiTheme="majorHAnsi" w:hAnsiTheme="majorHAnsi" w:cstheme="majorHAnsi"/>
          <w:sz w:val="24"/>
          <w:szCs w:val="24"/>
        </w:rPr>
      </w:pPr>
      <w:r w:rsidRPr="00844C0A">
        <w:rPr>
          <w:rFonts w:asciiTheme="majorHAnsi" w:hAnsiTheme="majorHAnsi" w:cstheme="majorHAnsi"/>
          <w:sz w:val="24"/>
          <w:szCs w:val="24"/>
        </w:rPr>
        <w:t xml:space="preserve">Considerando essas questões, o projeto de extensão “Armazenamento e </w:t>
      </w:r>
      <w:r w:rsidR="00581475" w:rsidRPr="00844C0A">
        <w:rPr>
          <w:rFonts w:asciiTheme="majorHAnsi" w:hAnsiTheme="majorHAnsi" w:cstheme="majorHAnsi"/>
          <w:sz w:val="24"/>
          <w:szCs w:val="24"/>
        </w:rPr>
        <w:t>d</w:t>
      </w:r>
      <w:r w:rsidRPr="00844C0A">
        <w:rPr>
          <w:rFonts w:asciiTheme="majorHAnsi" w:hAnsiTheme="majorHAnsi" w:cstheme="majorHAnsi"/>
          <w:sz w:val="24"/>
          <w:szCs w:val="24"/>
        </w:rPr>
        <w:t xml:space="preserve">escarte de </w:t>
      </w:r>
      <w:r w:rsidR="00581475" w:rsidRPr="00844C0A">
        <w:rPr>
          <w:rFonts w:asciiTheme="majorHAnsi" w:hAnsiTheme="majorHAnsi" w:cstheme="majorHAnsi"/>
          <w:sz w:val="24"/>
          <w:szCs w:val="24"/>
        </w:rPr>
        <w:t>m</w:t>
      </w:r>
      <w:r w:rsidRPr="00844C0A">
        <w:rPr>
          <w:rFonts w:asciiTheme="majorHAnsi" w:hAnsiTheme="majorHAnsi" w:cstheme="majorHAnsi"/>
          <w:sz w:val="24"/>
          <w:szCs w:val="24"/>
        </w:rPr>
        <w:t xml:space="preserve">edicamentos </w:t>
      </w:r>
      <w:r w:rsidR="00581475" w:rsidRPr="00844C0A">
        <w:rPr>
          <w:rFonts w:asciiTheme="majorHAnsi" w:hAnsiTheme="majorHAnsi" w:cstheme="majorHAnsi"/>
          <w:sz w:val="24"/>
          <w:szCs w:val="24"/>
        </w:rPr>
        <w:t>d</w:t>
      </w:r>
      <w:r w:rsidRPr="00844C0A">
        <w:rPr>
          <w:rFonts w:asciiTheme="majorHAnsi" w:hAnsiTheme="majorHAnsi" w:cstheme="majorHAnsi"/>
          <w:sz w:val="24"/>
          <w:szCs w:val="24"/>
        </w:rPr>
        <w:t xml:space="preserve">omiciliares por </w:t>
      </w:r>
      <w:r w:rsidR="00581475" w:rsidRPr="00844C0A">
        <w:rPr>
          <w:rFonts w:asciiTheme="majorHAnsi" w:hAnsiTheme="majorHAnsi" w:cstheme="majorHAnsi"/>
          <w:sz w:val="24"/>
          <w:szCs w:val="24"/>
        </w:rPr>
        <w:t>i</w:t>
      </w:r>
      <w:r w:rsidRPr="00844C0A">
        <w:rPr>
          <w:rFonts w:asciiTheme="majorHAnsi" w:hAnsiTheme="majorHAnsi" w:cstheme="majorHAnsi"/>
          <w:sz w:val="24"/>
          <w:szCs w:val="24"/>
        </w:rPr>
        <w:t>dosos</w:t>
      </w:r>
      <w:r w:rsidR="00581475" w:rsidRPr="00844C0A">
        <w:rPr>
          <w:rFonts w:asciiTheme="majorHAnsi" w:hAnsiTheme="majorHAnsi" w:cstheme="majorHAnsi"/>
          <w:sz w:val="24"/>
          <w:szCs w:val="24"/>
        </w:rPr>
        <w:t>: r</w:t>
      </w:r>
      <w:r w:rsidRPr="00844C0A">
        <w:rPr>
          <w:rFonts w:asciiTheme="majorHAnsi" w:hAnsiTheme="majorHAnsi" w:cstheme="majorHAnsi"/>
          <w:sz w:val="24"/>
          <w:szCs w:val="24"/>
        </w:rPr>
        <w:t xml:space="preserve">iscos </w:t>
      </w:r>
      <w:r w:rsidR="00581475" w:rsidRPr="00844C0A">
        <w:rPr>
          <w:rFonts w:asciiTheme="majorHAnsi" w:hAnsiTheme="majorHAnsi" w:cstheme="majorHAnsi"/>
          <w:sz w:val="24"/>
          <w:szCs w:val="24"/>
        </w:rPr>
        <w:t>a</w:t>
      </w:r>
      <w:r w:rsidRPr="00844C0A">
        <w:rPr>
          <w:rFonts w:asciiTheme="majorHAnsi" w:hAnsiTheme="majorHAnsi" w:cstheme="majorHAnsi"/>
          <w:sz w:val="24"/>
          <w:szCs w:val="24"/>
        </w:rPr>
        <w:t xml:space="preserve">mbientais e </w:t>
      </w:r>
      <w:r w:rsidR="00581475" w:rsidRPr="00844C0A">
        <w:rPr>
          <w:rFonts w:asciiTheme="majorHAnsi" w:hAnsiTheme="majorHAnsi" w:cstheme="majorHAnsi"/>
          <w:sz w:val="24"/>
          <w:szCs w:val="24"/>
        </w:rPr>
        <w:t>s</w:t>
      </w:r>
      <w:r w:rsidRPr="00844C0A">
        <w:rPr>
          <w:rFonts w:asciiTheme="majorHAnsi" w:hAnsiTheme="majorHAnsi" w:cstheme="majorHAnsi"/>
          <w:sz w:val="24"/>
          <w:szCs w:val="24"/>
        </w:rPr>
        <w:t>anitários”, vinculado ao Núcleo de Estudos da Pessoa Idosa (NEPI), da Universidade Federal de Juiz de Fora, Campus Governador Valadares (UFJF-GV), desenvolveu atividades de orientação junto à população idosa. Este trabalho te</w:t>
      </w:r>
      <w:r w:rsidR="00581475" w:rsidRPr="00844C0A">
        <w:rPr>
          <w:rFonts w:asciiTheme="majorHAnsi" w:hAnsiTheme="majorHAnsi" w:cstheme="majorHAnsi"/>
          <w:sz w:val="24"/>
          <w:szCs w:val="24"/>
        </w:rPr>
        <w:t>m</w:t>
      </w:r>
      <w:r w:rsidRPr="00844C0A">
        <w:rPr>
          <w:rFonts w:asciiTheme="majorHAnsi" w:hAnsiTheme="majorHAnsi" w:cstheme="majorHAnsi"/>
          <w:sz w:val="24"/>
          <w:szCs w:val="24"/>
        </w:rPr>
        <w:t xml:space="preserve"> como objetivo relatar as experiências vivenciadas no desenvolvimento das ações extensionistas, destacando as necessidades identificadas e as estratégias educativas utilizadas para promover o uso seguro, a organização da farmacoterapia e a destinação adequada de medicamentos.</w:t>
      </w:r>
    </w:p>
    <w:p w:rsidR="00826A48" w:rsidRPr="00844C0A" w:rsidRDefault="00826A48" w:rsidP="00844C0A">
      <w:pPr>
        <w:spacing w:line="360" w:lineRule="auto"/>
        <w:jc w:val="both"/>
        <w:rPr>
          <w:rFonts w:asciiTheme="majorHAnsi" w:eastAsia="Calibri" w:hAnsiTheme="majorHAnsi" w:cstheme="majorHAnsi"/>
          <w:b/>
          <w:sz w:val="24"/>
          <w:szCs w:val="24"/>
        </w:rPr>
      </w:pPr>
    </w:p>
    <w:p w:rsidR="00581475" w:rsidRPr="00844C0A" w:rsidRDefault="00581475" w:rsidP="00844C0A">
      <w:pPr>
        <w:spacing w:line="360" w:lineRule="auto"/>
        <w:jc w:val="both"/>
        <w:rPr>
          <w:rFonts w:asciiTheme="majorHAnsi" w:eastAsia="Calibri" w:hAnsiTheme="majorHAnsi" w:cstheme="majorHAnsi"/>
          <w:b/>
          <w:sz w:val="24"/>
          <w:szCs w:val="24"/>
        </w:rPr>
      </w:pPr>
      <w:r w:rsidRPr="00844C0A">
        <w:rPr>
          <w:rFonts w:asciiTheme="majorHAnsi" w:eastAsia="Calibri" w:hAnsiTheme="majorHAnsi" w:cstheme="majorHAnsi"/>
          <w:b/>
          <w:sz w:val="24"/>
          <w:szCs w:val="24"/>
        </w:rPr>
        <w:t>2. DESENVOLVIMENTO</w:t>
      </w:r>
    </w:p>
    <w:p w:rsidR="00581475" w:rsidRPr="00844C0A" w:rsidRDefault="00581475" w:rsidP="00844C0A">
      <w:pPr>
        <w:spacing w:line="360" w:lineRule="auto"/>
        <w:jc w:val="both"/>
        <w:rPr>
          <w:rFonts w:asciiTheme="majorHAnsi" w:eastAsia="Calibri" w:hAnsiTheme="majorHAnsi" w:cstheme="majorHAnsi"/>
          <w:b/>
          <w:sz w:val="24"/>
          <w:szCs w:val="24"/>
        </w:rPr>
      </w:pPr>
      <w:r w:rsidRPr="00844C0A">
        <w:rPr>
          <w:rFonts w:asciiTheme="majorHAnsi" w:eastAsia="Calibri" w:hAnsiTheme="majorHAnsi" w:cstheme="majorHAnsi"/>
          <w:b/>
          <w:sz w:val="24"/>
          <w:szCs w:val="24"/>
        </w:rPr>
        <w:t>2.1. Caracterização do projeto e organização das atividades extensionistas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 xml:space="preserve">O presente trabalho constitui um relato de experiência das atividades desenvolvidas no âmbito de um projeto de extensão universitária vinculado ao NEPI/UFJF-GV. As ações </w:t>
      </w:r>
      <w:r w:rsidRPr="00844C0A">
        <w:rPr>
          <w:rFonts w:asciiTheme="majorHAnsi" w:eastAsia="Calibri" w:hAnsiTheme="majorHAnsi" w:cstheme="majorHAnsi"/>
          <w:sz w:val="24"/>
          <w:szCs w:val="24"/>
        </w:rPr>
        <w:lastRenderedPageBreak/>
        <w:t>envolveram pessoas idosas participantes do</w:t>
      </w:r>
      <w:r w:rsidRPr="00844C0A">
        <w:rPr>
          <w:rFonts w:asciiTheme="majorHAnsi" w:eastAsia="Calibri" w:hAnsiTheme="majorHAnsi" w:cstheme="majorHAnsi"/>
          <w:sz w:val="24"/>
          <w:szCs w:val="24"/>
        </w:rPr>
        <w:t>s</w:t>
      </w:r>
      <w:r w:rsidRPr="00844C0A">
        <w:rPr>
          <w:rFonts w:asciiTheme="majorHAnsi" w:eastAsia="Calibri" w:hAnsiTheme="majorHAnsi" w:cstheme="majorHAnsi"/>
          <w:sz w:val="24"/>
          <w:szCs w:val="24"/>
        </w:rPr>
        <w:t xml:space="preserve"> Grupo</w:t>
      </w:r>
      <w:r w:rsidRPr="00844C0A">
        <w:rPr>
          <w:rFonts w:asciiTheme="majorHAnsi" w:eastAsia="Calibri" w:hAnsiTheme="majorHAnsi" w:cstheme="majorHAnsi"/>
          <w:sz w:val="24"/>
          <w:szCs w:val="24"/>
        </w:rPr>
        <w:t>s</w:t>
      </w:r>
      <w:r w:rsidRPr="00844C0A">
        <w:rPr>
          <w:rFonts w:asciiTheme="majorHAnsi" w:eastAsia="Calibri" w:hAnsiTheme="majorHAnsi" w:cstheme="majorHAnsi"/>
          <w:sz w:val="24"/>
          <w:szCs w:val="24"/>
        </w:rPr>
        <w:t xml:space="preserve"> de Terceira Idade “Comunidade Viva em Ação”, em diferentes </w:t>
      </w:r>
      <w:r w:rsidRPr="00844C0A">
        <w:rPr>
          <w:rFonts w:asciiTheme="majorHAnsi" w:eastAsia="Calibri" w:hAnsiTheme="majorHAnsi" w:cstheme="majorHAnsi"/>
          <w:sz w:val="24"/>
          <w:szCs w:val="24"/>
        </w:rPr>
        <w:t>bairros</w:t>
      </w:r>
      <w:r w:rsidRPr="00844C0A">
        <w:rPr>
          <w:rFonts w:asciiTheme="majorHAnsi" w:eastAsia="Calibri" w:hAnsiTheme="majorHAnsi" w:cstheme="majorHAnsi"/>
          <w:sz w:val="24"/>
          <w:szCs w:val="24"/>
        </w:rPr>
        <w:t xml:space="preserve"> de Governador Valadares, Minas Gerais.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O planejamento considerou a importância de conhecer previamente as práticas, dificuldades e necessidades dos participantes. Para isso, realizou-se um levantamento sobre o uso, o armazenamento e o descarte de medicamentos, cujos resultados subsidiaram a definição dos conteúdos das intervenções educativas.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A coleta de dados ocorreu entre abril de 2025 e junho de 2026, envolvendo 266 pessoas com 60 anos ou mais, selecionadas por conveniência. Foram realizadas entrevistas individuais, com questionário semiestruturado elaborado pela equipe, contemplando características sociodemográficas, condições de saúde, uso de medicamentos, organização da farmácia domiciliar, conservação, verificação de validade, descarte e percepção dos riscos relacionados.</w:t>
      </w:r>
    </w:p>
    <w:p w:rsidR="00995D6D" w:rsidRPr="00844C0A" w:rsidRDefault="00581475" w:rsidP="00844C0A">
      <w:pPr>
        <w:spacing w:line="360" w:lineRule="auto"/>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 xml:space="preserve">As entrevistas foram conduzidas durante os encontros dos grupos, buscando assegurar privacidade e padronização. As informações foram codificadas e organizadas em planilhas eletrônicas, sendo analisadas por estatística descritiva, com apresentação de frequências absolutas e relativas. </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A participação no levantamento foi voluntária, mediante assinatura do Termo de Consentimento Livre e Esclarecido. A pesquisa foi aprovada pelo Comitê de Ética em Pesquisa da Universidade Federal de Juiz de Fora, sob parecer nº 5.713.332. As atividades extensionistas incluíram palestras dialogadas, rodas de conversa, distribuição de materiais informativos e oficinas práticas de organização de medicamentos.</w:t>
      </w:r>
    </w:p>
    <w:p w:rsidR="000C0D11" w:rsidRPr="00844C0A" w:rsidRDefault="000C0D11" w:rsidP="00844C0A">
      <w:pPr>
        <w:spacing w:line="360" w:lineRule="auto"/>
        <w:jc w:val="both"/>
        <w:rPr>
          <w:rFonts w:asciiTheme="majorHAnsi" w:eastAsia="Calibri" w:hAnsiTheme="majorHAnsi" w:cstheme="majorHAnsi"/>
          <w:sz w:val="24"/>
          <w:szCs w:val="24"/>
        </w:rPr>
      </w:pPr>
    </w:p>
    <w:p w:rsidR="00581475" w:rsidRPr="00844C0A" w:rsidRDefault="00581475" w:rsidP="00844C0A">
      <w:pPr>
        <w:spacing w:line="360" w:lineRule="auto"/>
        <w:jc w:val="both"/>
        <w:rPr>
          <w:rFonts w:asciiTheme="majorHAnsi" w:eastAsia="Calibri" w:hAnsiTheme="majorHAnsi" w:cstheme="majorHAnsi"/>
          <w:b/>
          <w:sz w:val="24"/>
          <w:szCs w:val="24"/>
        </w:rPr>
      </w:pPr>
      <w:r w:rsidRPr="00844C0A">
        <w:rPr>
          <w:rFonts w:asciiTheme="majorHAnsi" w:eastAsia="Calibri" w:hAnsiTheme="majorHAnsi" w:cstheme="majorHAnsi"/>
          <w:b/>
          <w:sz w:val="24"/>
          <w:szCs w:val="24"/>
        </w:rPr>
        <w:t>2.2. Identificação das necessidades educativas relacionadas ao armazenamento</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O levantamento das práticas de armazenamento domiciliar possibilitou identificar situações que poderiam comprometer a qualidade dos medicamentos e a segurança de sua utilização. Entre os participantes, 33,46% relataram armazenar medicamentos fora das embalagens originais e sem as respectivas bulas. Essa prática pode dificultar a identificação dos produtos, a consulta às orientações de uso e a verificação dos prazos de validade, especialmente quando diferentes medicamentos são utilizados simultaneamente.</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 xml:space="preserve">A manutenção dos medicamentos em suas embalagens adequadas constitui medida importante para preservar informações de identificação, conservação e utilização segura. Determinados produtos apresentam exigências específicas de acondicionamento, devendo </w:t>
      </w:r>
      <w:r w:rsidRPr="00844C0A">
        <w:rPr>
          <w:rFonts w:asciiTheme="majorHAnsi" w:eastAsia="Calibri" w:hAnsiTheme="majorHAnsi" w:cstheme="majorHAnsi"/>
          <w:sz w:val="24"/>
          <w:szCs w:val="24"/>
        </w:rPr>
        <w:lastRenderedPageBreak/>
        <w:t>ser observadas as recomendações do fabricante quanto à exposição à luz, à umidade e à temperatura.</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Outro resultado relevante foi a identificação de participantes que não realizavam a verificação periódica do prazo de validade dos medicamentos, correspondendo a 17,74% dos entrevistados. Esse achado evidenciou a necessidade de reforçar orientações sobre a revisão da farmácia domiciliar, a identificação de produtos vencidos ou sem utilização e sua separação para posterior destinação adequada.</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Em relação à segurança no ambiente doméstico, 27,82% relataram manter medicamentos ao alcance de crianças. Essa condição representa risco potencial de intoxicação acidental, demonstrando que os cuidados com o armazenamento devem considerar não apenas a pessoa que utiliza o medicamento, mas também os demais integrantes da residência.</w:t>
      </w:r>
    </w:p>
    <w:p w:rsidR="00581475" w:rsidRPr="00844C0A" w:rsidRDefault="00581475" w:rsidP="00844C0A">
      <w:pPr>
        <w:spacing w:line="360" w:lineRule="auto"/>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Esses resultados orientaram a abordagem dos locais apropriados para armazenamento, da proteção contra calor e umidade, da preservação das embalagens e da adoção de medidas para dificultar o acesso por crianças. A organização dos medicamentos também envolve hábitos, condições de moradia, rotinas familiares e necessidades individuais; por isso, as intervenções buscaram apresentar orientações aplicáveis à realidade dos participantes.</w:t>
      </w:r>
    </w:p>
    <w:p w:rsidR="00995D6D" w:rsidRPr="00844C0A" w:rsidRDefault="00995D6D" w:rsidP="00844C0A">
      <w:pPr>
        <w:spacing w:line="360" w:lineRule="auto"/>
        <w:jc w:val="both"/>
        <w:rPr>
          <w:rFonts w:asciiTheme="majorHAnsi" w:eastAsia="Calibri" w:hAnsiTheme="majorHAnsi" w:cstheme="majorHAnsi"/>
          <w:sz w:val="24"/>
          <w:szCs w:val="24"/>
        </w:rPr>
      </w:pPr>
    </w:p>
    <w:p w:rsidR="00581475" w:rsidRPr="00844C0A" w:rsidRDefault="00581475" w:rsidP="00844C0A">
      <w:pPr>
        <w:spacing w:line="360" w:lineRule="auto"/>
        <w:jc w:val="both"/>
        <w:rPr>
          <w:rFonts w:asciiTheme="majorHAnsi" w:eastAsia="Calibri" w:hAnsiTheme="majorHAnsi" w:cstheme="majorHAnsi"/>
          <w:b/>
          <w:sz w:val="24"/>
          <w:szCs w:val="24"/>
        </w:rPr>
      </w:pPr>
      <w:r w:rsidRPr="00844C0A">
        <w:rPr>
          <w:rFonts w:asciiTheme="majorHAnsi" w:eastAsia="Calibri" w:hAnsiTheme="majorHAnsi" w:cstheme="majorHAnsi"/>
          <w:b/>
          <w:sz w:val="24"/>
          <w:szCs w:val="24"/>
        </w:rPr>
        <w:t>2.3. Práticas de descarte e percepção dos riscos sanitários e ambientais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Dos 266 participantes, 233 (87,59%) relataram já ter descartado medicamentos vencidos ou sem utilização, enquanto 33 (12,41%) informaram nunca ter realizado essa prática. Os principais motivos mencionados foram o vencimento dos produtos e a ausência de necessidade de utilização. Apesar de o descarte fazer parte da rotina de parcela expressiva dos entrevistados, 60,52% afirmaram nunca ter recebido orientações sobre os procedimentos adequados.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O lixo comum foi apontado como local de descarte por 42,2% dos participantes, enquanto 15,3% mencionaram pias ou vasos sanitários. Essas práticas são preocupantes em razão dos possíveis impactos decorrentes da introdução de resíduos farmacêuticos no ambiente, especialmente pela contaminação do solo e da água.</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A utilização de farmácias e unidades de saúde para a entrega de medicamentos vencidos ou em desuso também foi mencionada, indicando conhecimento parcial sobre alternativas de destinação. Entretanto, a frequência de descarte em locais inadequados demonstrou a necessidade de ampliar a divulgação dos procedimentos e pontos de recebimento disponíveis.</w:t>
      </w:r>
    </w:p>
    <w:p w:rsidR="00581475" w:rsidRPr="00844C0A" w:rsidRDefault="00581475" w:rsidP="00844C0A">
      <w:pPr>
        <w:spacing w:line="360" w:lineRule="auto"/>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lastRenderedPageBreak/>
        <w:t>Quanto à percepção dos riscos, 68,42% reconheceram que o descarte inadequado poderia ocasionar prejuízos à saúde ou ao meio ambiente, enquanto 31,58% não identificaram possíveis consequências. Entre os riscos mencionados, destacaram-se a contaminação da água e do solo e a intoxicação de pessoas ou animais.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Os achados evidenciaram que reconhecer a existência de riscos não significa necessariamente conhecer ou adotar os procedimentos adequados. Assim, as ações extensionistas relacionaram consequências sanitárias e ambientais às situações cotidianas, enfatizando a separação dos medicamentos vencidos ou sem utilização e seu encaminhamento aos pontos apropriados de recebimento. Também foram discutidas as responsabilidades compartilhadas previstas na legislação brasileira.</w:t>
      </w:r>
    </w:p>
    <w:p w:rsidR="009D0ECD" w:rsidRPr="00844C0A" w:rsidRDefault="009D0ECD" w:rsidP="00844C0A">
      <w:pPr>
        <w:spacing w:line="360" w:lineRule="auto"/>
        <w:jc w:val="both"/>
        <w:rPr>
          <w:rFonts w:asciiTheme="majorHAnsi" w:eastAsia="Calibri" w:hAnsiTheme="majorHAnsi" w:cstheme="majorHAnsi"/>
          <w:sz w:val="24"/>
          <w:szCs w:val="24"/>
        </w:rPr>
      </w:pPr>
    </w:p>
    <w:p w:rsidR="00581475" w:rsidRPr="00844C0A" w:rsidRDefault="00581475" w:rsidP="00844C0A">
      <w:pPr>
        <w:spacing w:line="360" w:lineRule="auto"/>
        <w:jc w:val="both"/>
        <w:rPr>
          <w:rFonts w:asciiTheme="majorHAnsi" w:eastAsia="Calibri" w:hAnsiTheme="majorHAnsi" w:cstheme="majorHAnsi"/>
          <w:b/>
          <w:sz w:val="24"/>
          <w:szCs w:val="24"/>
        </w:rPr>
      </w:pPr>
      <w:r w:rsidRPr="00844C0A">
        <w:rPr>
          <w:rFonts w:asciiTheme="majorHAnsi" w:eastAsia="Calibri" w:hAnsiTheme="majorHAnsi" w:cstheme="majorHAnsi"/>
          <w:b/>
          <w:sz w:val="24"/>
          <w:szCs w:val="24"/>
        </w:rPr>
        <w:t>2.4. Desenvolvimento das ações educativas e das oficinas práticas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As atividades educativas foram planejadas a partir das necessidades identificadas no levantamento inicial, com o propósito de promover orientações acessíveis e estimular reflexões sobre práticas de utilização, armazenamento e descarte de medicamentos. Foram realizadas palestras dialogadas e rodas de conversa, abordando uso racional, cumprimento das prescrições, horários e doses de administração, riscos da automedicação e possíveis interações medicamentosas.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Também foram discutidas situações relacionadas à utilização concomitante de medicamentos, alimentos e plantas medicinais, considerando que essas práticas podem exigir acompanhamento profissional para prevenir efeitos indesejados. No eixo do armazenamento, enfatizaram-se locais secos, protegidos de condições ambientais inadequadas e fora do alcance de crianças, além de identificação, conservação e conferência de validade.</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Em relação ao descarte, foram discutidos os riscos associados à eliminação de medicamentos no lixo comum, em pias e vasos sanitários, destacando a importância dos sistemas de coleta e logística reversa. Como complemento, foram distribuídos materiais educativos elaborados pela equipe, contendo orientações sobre conservação, organização da farmácia domiciliar, verificação de validade e destinação de produtos vencidos ou em desuso.</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 xml:space="preserve">Uma das estratégias práticas desenvolvidas foi a oficina de confecção de caixas organizadoras de medicamentos, utilizando caixas de sapato reaproveitadas e materiais de baixo custo. Durante a atividade, os participantes confeccionaram organizadores personalizados, com divisórias destinadas à identificação dos diferentes momentos de </w:t>
      </w:r>
      <w:r w:rsidRPr="00844C0A">
        <w:rPr>
          <w:rFonts w:asciiTheme="majorHAnsi" w:eastAsia="Calibri" w:hAnsiTheme="majorHAnsi" w:cstheme="majorHAnsi"/>
          <w:sz w:val="24"/>
          <w:szCs w:val="24"/>
        </w:rPr>
        <w:lastRenderedPageBreak/>
        <w:t>administração dos medicamentos ao longo do dia, considerando horários e refeições. Também foi previsto espaço para sinalizar medicamentos já administrados.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A oficina permitiu trabalhar a organização da rotina medicamentosa de maneira concreta e participativa. Durante a confecção dos organizadores, foram reforçados cuidados para que os medicamentos permanecessem devidamente identificados e acondicionados, respeitando suas condições específicas de conservação. Ressaltou-se que o uso de caixas organizadoras não substitui recomendações do fabricante nem justifica a retirada dos medicamentos de embalagens primárias quando isso possa comprometer estabilidade ou identificação.</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A atividade também ofereceu oportunidade para discutir a presença de medicamentos vencidos ou sem utilização nos domicílios, incentivando sua identificação e separação para descarte nos locais apropriados. A utilização de materiais acessíveis favoreceu uma intervenção de baixo custo, demonstrando a possibilidade de desenvolver estratégias educativas práticas com recursos disponíveis no cotidiano.</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Além da transmissão de informações, as atividades buscaram valorizar as experiências das pessoas idosas, permitindo a apresentação de dúvidas e o compartilhamento de situações relacionadas à administração e ao armazenamento de medicamentos. Essa abordagem contribuiu para aproximar orientações técnicas de situações familiares aos participantes.</w:t>
      </w:r>
    </w:p>
    <w:p w:rsidR="002D54BE" w:rsidRPr="00844C0A" w:rsidRDefault="002D54BE" w:rsidP="00844C0A">
      <w:pPr>
        <w:spacing w:line="360" w:lineRule="auto"/>
        <w:jc w:val="both"/>
        <w:rPr>
          <w:rFonts w:asciiTheme="majorHAnsi" w:eastAsia="Calibri" w:hAnsiTheme="majorHAnsi" w:cstheme="majorHAnsi"/>
          <w:sz w:val="24"/>
          <w:szCs w:val="24"/>
        </w:rPr>
      </w:pPr>
    </w:p>
    <w:p w:rsidR="00581475" w:rsidRPr="00844C0A" w:rsidRDefault="00581475" w:rsidP="00844C0A">
      <w:pPr>
        <w:spacing w:line="360" w:lineRule="auto"/>
        <w:jc w:val="both"/>
        <w:rPr>
          <w:rFonts w:asciiTheme="majorHAnsi" w:eastAsia="Calibri" w:hAnsiTheme="majorHAnsi" w:cstheme="majorHAnsi"/>
          <w:b/>
          <w:sz w:val="24"/>
          <w:szCs w:val="24"/>
        </w:rPr>
      </w:pPr>
      <w:r w:rsidRPr="00844C0A">
        <w:rPr>
          <w:rFonts w:asciiTheme="majorHAnsi" w:eastAsia="Calibri" w:hAnsiTheme="majorHAnsi" w:cstheme="majorHAnsi"/>
          <w:b/>
          <w:sz w:val="24"/>
          <w:szCs w:val="24"/>
        </w:rPr>
        <w:t>2.5. Contribuições e desafios da experiência extensionista</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O desenvolvimento das ações possibilitou aproximar o conhecimento acadêmico das necessidades identificadas entre as pessoas idosas, evidenciando a importância da extensão universitária como espaço de diálogo e construção compartilhada de conhecimentos. A utilização dos resultados do levantamento para orientar o planejamento das atividades permitiu priorizar situações concretas relacionadas ao armazenamento e ao descarte.</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As palestras e rodas de conversa proporcionaram oportunidades de discussão sobre práticas cotidianas, enquanto as oficinas permitiram abordar os mesmos conteúdos por meio de atividades manuais e participativas. A confecção de organizadores constituiu estratégia para tornar mais acessíveis as orientações relacionadas à rotina medicamentosa.</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 xml:space="preserve">A experiência evidenciou a importância de considerar as particularidades do envelhecimento e a heterogeneidade da população idosa. Diferentes condições de saúde, níveis de escolaridade, hábitos e formas de organização doméstica exigem estratégias </w:t>
      </w:r>
      <w:r w:rsidRPr="00844C0A">
        <w:rPr>
          <w:rFonts w:asciiTheme="majorHAnsi" w:eastAsia="Calibri" w:hAnsiTheme="majorHAnsi" w:cstheme="majorHAnsi"/>
          <w:sz w:val="24"/>
          <w:szCs w:val="24"/>
        </w:rPr>
        <w:lastRenderedPageBreak/>
        <w:t>educativas flexíveis, que respeitem a autonomia dos participantes e evitem abordagens exclusivamente prescritivas.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 xml:space="preserve">No âmbito da formação acadêmica, a participação nas atividades extensionistas proporcionou aos </w:t>
      </w:r>
      <w:r w:rsidR="008D718E" w:rsidRPr="00844C0A">
        <w:rPr>
          <w:rFonts w:asciiTheme="majorHAnsi" w:eastAsia="Calibri" w:hAnsiTheme="majorHAnsi" w:cstheme="majorHAnsi"/>
          <w:sz w:val="24"/>
          <w:szCs w:val="24"/>
        </w:rPr>
        <w:t>discentes</w:t>
      </w:r>
      <w:r w:rsidRPr="00844C0A">
        <w:rPr>
          <w:rFonts w:asciiTheme="majorHAnsi" w:eastAsia="Calibri" w:hAnsiTheme="majorHAnsi" w:cstheme="majorHAnsi"/>
          <w:sz w:val="24"/>
          <w:szCs w:val="24"/>
        </w:rPr>
        <w:t xml:space="preserve"> oportunidades de contato com situações fora do ambiente institucional, contribuindo para compreender fatores sociais, comportamentais e ambientais envolvidos no cuidado em saúde. O planejamento e a realização das intervenções também favoreceram o exercício da comunicação acessível e da escuta.</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Entre os desafios da experiência, destaca-se a necessidade de promover orientações que possam ser incorporadas às diferentes realidades domiciliares, considerando limitações de recursos, hábitos estabelecidos e dificuldades individuais no gerenciamento dos medicamentos. Outro desafio refere-se à continuidade das ações, uma vez que mudanças de práticas relacionadas à saúde demandam acompanhamento e reforço.</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Os resultados quantitativos apresentados correspondem ao levantamento das práticas e percepções dos participantes, não constituindo avaliação direta dos efeitos das intervenções. Embora as atividades tenham proporcionado oportunidades de orientação e participação, não é possível afirmar, com base nos dados disponíveis, que ocorreram mudanças permanentes nas práticas domiciliares. Avaliações posteriores poderão investigar a incorporação das orientações apresentadas.</w:t>
      </w:r>
    </w:p>
    <w:p w:rsidR="008501D7" w:rsidRPr="00844C0A" w:rsidRDefault="008501D7" w:rsidP="00844C0A">
      <w:pPr>
        <w:spacing w:line="360" w:lineRule="auto"/>
        <w:jc w:val="both"/>
        <w:rPr>
          <w:rFonts w:asciiTheme="majorHAnsi" w:eastAsia="Calibri" w:hAnsiTheme="majorHAnsi" w:cstheme="majorHAnsi"/>
          <w:sz w:val="24"/>
          <w:szCs w:val="24"/>
        </w:rPr>
      </w:pPr>
    </w:p>
    <w:p w:rsidR="00581475" w:rsidRPr="00844C0A" w:rsidRDefault="00581475" w:rsidP="00844C0A">
      <w:pPr>
        <w:spacing w:line="360" w:lineRule="auto"/>
        <w:jc w:val="both"/>
        <w:rPr>
          <w:rFonts w:asciiTheme="majorHAnsi" w:eastAsia="Calibri" w:hAnsiTheme="majorHAnsi" w:cstheme="majorHAnsi"/>
          <w:b/>
          <w:sz w:val="24"/>
          <w:szCs w:val="24"/>
        </w:rPr>
      </w:pPr>
      <w:r w:rsidRPr="00844C0A">
        <w:rPr>
          <w:rFonts w:asciiTheme="majorHAnsi" w:eastAsia="Calibri" w:hAnsiTheme="majorHAnsi" w:cstheme="majorHAnsi"/>
          <w:b/>
          <w:sz w:val="24"/>
          <w:szCs w:val="24"/>
        </w:rPr>
        <w:t>3. CONCLUSÕES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A experiência desenvolvida no projeto de extensão evidenciou a importância de abordar o armazenamento e o descarte domiciliar de medicamentos como componentes complementares da promoção do uso racional e seguro entre pessoas idosas.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O levantamento com 266 participantes permitiu identificar práticas que representam potenciais riscos sanitários e ambientais, incluindo armazenamento fora das embalagens originais, ausência de verificação periódica de validade, manutenção de medicamentos ao alcance de crianças e descarte em locais inadequados. Esses resultados contribuíram para orientar o planejamento das intervenções educativas.</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 xml:space="preserve">A realização de palestras, rodas de conversa, distribuição de materiais informativos e oficinas de confecção de caixas organizadoras possibilitou integrar orientações teóricas e atividades práticas, valorizando o diálogo, a participação e as experiências cotidianas das </w:t>
      </w:r>
      <w:r w:rsidRPr="00844C0A">
        <w:rPr>
          <w:rFonts w:asciiTheme="majorHAnsi" w:eastAsia="Calibri" w:hAnsiTheme="majorHAnsi" w:cstheme="majorHAnsi"/>
          <w:sz w:val="24"/>
          <w:szCs w:val="24"/>
        </w:rPr>
        <w:lastRenderedPageBreak/>
        <w:t>pessoas idosas. A experiência demonstrou a viabilidade de desenvolver estratégias educativas com materiais de baixo custo.</w:t>
      </w:r>
    </w:p>
    <w:p w:rsidR="00581475" w:rsidRPr="00844C0A" w:rsidRDefault="00581475" w:rsidP="004A598B">
      <w:pPr>
        <w:spacing w:line="360" w:lineRule="auto"/>
        <w:ind w:firstLine="567"/>
        <w:jc w:val="both"/>
        <w:rPr>
          <w:rFonts w:asciiTheme="majorHAnsi" w:eastAsia="Calibri" w:hAnsiTheme="majorHAnsi" w:cstheme="majorHAnsi"/>
          <w:sz w:val="24"/>
          <w:szCs w:val="24"/>
        </w:rPr>
      </w:pPr>
      <w:r w:rsidRPr="00844C0A">
        <w:rPr>
          <w:rFonts w:asciiTheme="majorHAnsi" w:eastAsia="Calibri" w:hAnsiTheme="majorHAnsi" w:cstheme="majorHAnsi"/>
          <w:sz w:val="24"/>
          <w:szCs w:val="24"/>
        </w:rPr>
        <w:t>Para os estudantes, as atividades proporcionaram oportunidades de aproximação com a comunidade e aplicação de conhecimentos acadêmicos em situações concretas, contribuindo para competências relacionadas à educação em saúde, à comunicação e à responsabilidade social. A continuidade das ações poderá fortalecer o vínculo entre universidade e comunidade e ampliar as oportunidades de orientação às pessoas idosas, familiares e cuidadores.</w:t>
      </w:r>
    </w:p>
    <w:p w:rsidR="00B87FBB" w:rsidRPr="00581475" w:rsidRDefault="00B87FBB" w:rsidP="00581475">
      <w:pPr>
        <w:spacing w:line="360" w:lineRule="auto"/>
        <w:jc w:val="both"/>
        <w:rPr>
          <w:rFonts w:asciiTheme="majorHAnsi" w:eastAsia="Calibri" w:hAnsiTheme="majorHAnsi" w:cstheme="majorHAnsi"/>
          <w:sz w:val="24"/>
          <w:szCs w:val="24"/>
        </w:rPr>
      </w:pPr>
    </w:p>
    <w:p w:rsidR="00B617CA" w:rsidRPr="00B617CA" w:rsidRDefault="00581475" w:rsidP="00581475">
      <w:pPr>
        <w:spacing w:line="360" w:lineRule="auto"/>
        <w:jc w:val="both"/>
        <w:rPr>
          <w:rFonts w:asciiTheme="majorHAnsi" w:eastAsia="Calibri" w:hAnsiTheme="majorHAnsi" w:cstheme="majorHAnsi"/>
          <w:b/>
          <w:sz w:val="24"/>
          <w:szCs w:val="24"/>
        </w:rPr>
      </w:pPr>
      <w:r w:rsidRPr="00581475">
        <w:rPr>
          <w:rFonts w:asciiTheme="majorHAnsi" w:eastAsia="Calibri" w:hAnsiTheme="majorHAnsi" w:cstheme="majorHAnsi"/>
          <w:b/>
          <w:sz w:val="24"/>
          <w:szCs w:val="24"/>
        </w:rPr>
        <w:t>4. REFERÊNCIAS BIBLIOGRÁFICAS</w:t>
      </w:r>
    </w:p>
    <w:p w:rsidR="00C31FB8" w:rsidRPr="00C31FB8" w:rsidRDefault="00C31FB8" w:rsidP="00844C0A">
      <w:pPr>
        <w:spacing w:line="240" w:lineRule="auto"/>
        <w:rPr>
          <w:rFonts w:asciiTheme="majorHAnsi" w:eastAsia="Calibri" w:hAnsiTheme="majorHAnsi" w:cstheme="majorHAnsi"/>
          <w:sz w:val="24"/>
          <w:szCs w:val="24"/>
        </w:rPr>
      </w:pPr>
      <w:r w:rsidRPr="00C31FB8">
        <w:rPr>
          <w:rFonts w:asciiTheme="majorHAnsi" w:eastAsia="Calibri" w:hAnsiTheme="majorHAnsi" w:cstheme="majorHAnsi"/>
          <w:sz w:val="24"/>
          <w:szCs w:val="24"/>
        </w:rPr>
        <w:t>BRASIL. Lei nº 12.305, de 2 de agosto de 2010. Institui a Política Nacional de Resíduos Sólidos. Brasília, DF: Presidência da República, 2010. Disponível em: &lt;https://www.planalto.gov.br/ccivil_03/_ato2007-2010/2010/lei/l12305.htm&gt;. Acesso em: 16 out. 2026.</w:t>
      </w:r>
    </w:p>
    <w:p w:rsidR="00C31FB8" w:rsidRPr="00C31FB8" w:rsidRDefault="00C31FB8" w:rsidP="00844C0A">
      <w:pPr>
        <w:spacing w:line="240" w:lineRule="auto"/>
        <w:rPr>
          <w:rFonts w:asciiTheme="majorHAnsi" w:eastAsia="Calibri" w:hAnsiTheme="majorHAnsi" w:cstheme="majorHAnsi"/>
          <w:sz w:val="24"/>
          <w:szCs w:val="24"/>
        </w:rPr>
      </w:pPr>
      <w:r w:rsidRPr="00C31FB8">
        <w:rPr>
          <w:rFonts w:asciiTheme="majorHAnsi" w:eastAsia="Calibri" w:hAnsiTheme="majorHAnsi" w:cstheme="majorHAnsi"/>
          <w:sz w:val="24"/>
          <w:szCs w:val="24"/>
        </w:rPr>
        <w:t>BRASIL. Decreto nº 10.388, de 5 de junho de 2020. Regulamenta o § 1º do caput do art. 33 da Lei nº 12.305, de 2 de agosto de 2010, e institui o sistema de logística reversa de medicamentos domiciliares vencidos ou em desuso. Brasília, DF: Presidência da República, 2020. Disponível em: &lt;https://www.planalto.gov.br/ccivil_03/_ato2019-2022/2020/decreto/d10388</w:t>
      </w:r>
      <w:r w:rsidR="008A5D16">
        <w:rPr>
          <w:rFonts w:asciiTheme="majorHAnsi" w:eastAsia="Calibri" w:hAnsiTheme="majorHAnsi" w:cstheme="majorHAnsi"/>
          <w:sz w:val="24"/>
          <w:szCs w:val="24"/>
        </w:rPr>
        <w:t>.htm&gt;. Acesso em: 16 out. 2026.</w:t>
      </w:r>
    </w:p>
    <w:p w:rsidR="00C31FB8" w:rsidRPr="00C31FB8" w:rsidRDefault="00C31FB8" w:rsidP="00844C0A">
      <w:pPr>
        <w:spacing w:line="240" w:lineRule="auto"/>
        <w:rPr>
          <w:rFonts w:asciiTheme="majorHAnsi" w:eastAsia="Calibri" w:hAnsiTheme="majorHAnsi" w:cstheme="majorHAnsi"/>
          <w:sz w:val="24"/>
          <w:szCs w:val="24"/>
        </w:rPr>
      </w:pPr>
      <w:r w:rsidRPr="00C31FB8">
        <w:rPr>
          <w:rFonts w:asciiTheme="majorHAnsi" w:eastAsia="Calibri" w:hAnsiTheme="majorHAnsi" w:cstheme="majorHAnsi"/>
          <w:sz w:val="24"/>
          <w:szCs w:val="24"/>
        </w:rPr>
        <w:t xml:space="preserve">CONSTANTINO, Viviane Macedo; FREGONESI, Brisa Maria; TONANI, Karina Aparecida de Abreu; ZAGUI, Guilherme Sgobbi; TONINATO, Ana Paula Contiero; NONOSE, Eliana Roldão dos Santos; FABRIZ, Luciana Aparecida; SEGURA-MUÑOZ, Susana Inés. </w:t>
      </w:r>
      <w:r w:rsidRPr="00C31FB8">
        <w:rPr>
          <w:rFonts w:asciiTheme="majorHAnsi" w:eastAsia="Calibri" w:hAnsiTheme="majorHAnsi" w:cstheme="majorHAnsi"/>
          <w:i/>
          <w:sz w:val="24"/>
          <w:szCs w:val="24"/>
        </w:rPr>
        <w:t>Estoque e descarte de medicamentos no domicílio</w:t>
      </w:r>
      <w:r w:rsidRPr="00C31FB8">
        <w:rPr>
          <w:rFonts w:asciiTheme="majorHAnsi" w:eastAsia="Calibri" w:hAnsiTheme="majorHAnsi" w:cstheme="majorHAnsi"/>
          <w:sz w:val="24"/>
          <w:szCs w:val="24"/>
        </w:rPr>
        <w:t>: uma revisão sistemática. Ciência &amp; Saúde Coletiva, Rio de Janeiro, v. 25, n. 2, p. 585–594, 2020. Disponível em: &lt;https://doi.org/10.1590/1413-81232020252.1088</w:t>
      </w:r>
      <w:r w:rsidR="008A5D16">
        <w:rPr>
          <w:rFonts w:asciiTheme="majorHAnsi" w:eastAsia="Calibri" w:hAnsiTheme="majorHAnsi" w:cstheme="majorHAnsi"/>
          <w:sz w:val="24"/>
          <w:szCs w:val="24"/>
        </w:rPr>
        <w:t>2018&gt;. Acesso em: 16 out. 2026.</w:t>
      </w:r>
    </w:p>
    <w:p w:rsidR="00C31FB8" w:rsidRPr="00C31FB8" w:rsidRDefault="00C31FB8" w:rsidP="00844C0A">
      <w:pPr>
        <w:spacing w:line="240" w:lineRule="auto"/>
        <w:rPr>
          <w:rFonts w:asciiTheme="majorHAnsi" w:eastAsia="Calibri" w:hAnsiTheme="majorHAnsi" w:cstheme="majorHAnsi"/>
          <w:sz w:val="24"/>
          <w:szCs w:val="24"/>
        </w:rPr>
      </w:pPr>
      <w:r w:rsidRPr="00C31FB8">
        <w:rPr>
          <w:rFonts w:asciiTheme="majorHAnsi" w:eastAsia="Calibri" w:hAnsiTheme="majorHAnsi" w:cstheme="majorHAnsi"/>
          <w:sz w:val="24"/>
          <w:szCs w:val="24"/>
        </w:rPr>
        <w:t xml:space="preserve">FERNANDES, Mayra Rodrigues; FIGUEIREDO, Roberta Carvalho de; SILVA, Luanna Gabriella Resende da; ROCHA, Rafaela Silva; BALDONI, André Oliveira. </w:t>
      </w:r>
      <w:r w:rsidRPr="00C31FB8">
        <w:rPr>
          <w:rFonts w:asciiTheme="majorHAnsi" w:eastAsia="Calibri" w:hAnsiTheme="majorHAnsi" w:cstheme="majorHAnsi"/>
          <w:i/>
          <w:sz w:val="24"/>
          <w:szCs w:val="24"/>
        </w:rPr>
        <w:t>Armazenamento e descarte dos medicamentos vencidos em farmácias caseiras</w:t>
      </w:r>
      <w:r w:rsidRPr="00C31FB8">
        <w:rPr>
          <w:rFonts w:asciiTheme="majorHAnsi" w:eastAsia="Calibri" w:hAnsiTheme="majorHAnsi" w:cstheme="majorHAnsi"/>
          <w:sz w:val="24"/>
          <w:szCs w:val="24"/>
        </w:rPr>
        <w:t>: problemas emergentes para a saúde pública. Einstein (São Paulo), São Paulo, v. 18, eAO5066, 2020. Disponível em: &lt;https://doi.org/10.31744/einstein_journal/2020AO</w:t>
      </w:r>
      <w:r w:rsidR="008A5D16">
        <w:rPr>
          <w:rFonts w:asciiTheme="majorHAnsi" w:eastAsia="Calibri" w:hAnsiTheme="majorHAnsi" w:cstheme="majorHAnsi"/>
          <w:sz w:val="24"/>
          <w:szCs w:val="24"/>
        </w:rPr>
        <w:t>5066&gt;. Acesso em: 16 out. 2026.</w:t>
      </w:r>
    </w:p>
    <w:p w:rsidR="00C31FB8" w:rsidRDefault="00C31FB8" w:rsidP="00844C0A">
      <w:pPr>
        <w:spacing w:line="240" w:lineRule="auto"/>
        <w:rPr>
          <w:rFonts w:asciiTheme="majorHAnsi" w:eastAsia="Calibri" w:hAnsiTheme="majorHAnsi" w:cstheme="majorHAnsi"/>
          <w:sz w:val="24"/>
          <w:szCs w:val="24"/>
        </w:rPr>
      </w:pPr>
      <w:r w:rsidRPr="00C31FB8">
        <w:rPr>
          <w:rFonts w:asciiTheme="majorHAnsi" w:eastAsia="Calibri" w:hAnsiTheme="majorHAnsi" w:cstheme="majorHAnsi"/>
          <w:sz w:val="24"/>
          <w:szCs w:val="24"/>
        </w:rPr>
        <w:t xml:space="preserve">LICOVISKI, Pamela Taina; BLANSKI, Clóris Regina; FARAGO, Paulo Vitor; SOARES, Gabriella Barreto; BORDIN, Danielle. </w:t>
      </w:r>
      <w:r w:rsidRPr="00C31FB8">
        <w:rPr>
          <w:rFonts w:asciiTheme="majorHAnsi" w:eastAsia="Calibri" w:hAnsiTheme="majorHAnsi" w:cstheme="majorHAnsi"/>
          <w:i/>
          <w:sz w:val="24"/>
          <w:szCs w:val="24"/>
        </w:rPr>
        <w:t>Polifarmácia na população idosa brasileira e as doenças crônicas não transmissíveis associadas</w:t>
      </w:r>
      <w:r w:rsidRPr="00C31FB8">
        <w:rPr>
          <w:rFonts w:asciiTheme="majorHAnsi" w:eastAsia="Calibri" w:hAnsiTheme="majorHAnsi" w:cstheme="majorHAnsi"/>
          <w:sz w:val="24"/>
          <w:szCs w:val="24"/>
        </w:rPr>
        <w:t>: estudo de base nacional. Revista Brasileira de Geriatria e Gerontologia, Rio de Janeiro, v. 28, e240165, 2025. Disponível em: &lt;https://doi.org/10.1590/1981-22562025028.24016</w:t>
      </w:r>
      <w:r w:rsidR="00BB3AC7">
        <w:rPr>
          <w:rFonts w:asciiTheme="majorHAnsi" w:eastAsia="Calibri" w:hAnsiTheme="majorHAnsi" w:cstheme="majorHAnsi"/>
          <w:sz w:val="24"/>
          <w:szCs w:val="24"/>
        </w:rPr>
        <w:t>5.pt&gt;. Acesso em: 16 out. 2026.</w:t>
      </w:r>
    </w:p>
    <w:p w:rsidR="00742FF3" w:rsidRPr="0019664A" w:rsidRDefault="008A5D16" w:rsidP="00844C0A">
      <w:pPr>
        <w:spacing w:line="240" w:lineRule="auto"/>
        <w:rPr>
          <w:rFonts w:asciiTheme="majorHAnsi" w:eastAsia="Calibri" w:hAnsiTheme="majorHAnsi" w:cstheme="majorHAnsi"/>
          <w:sz w:val="24"/>
          <w:szCs w:val="24"/>
        </w:rPr>
      </w:pPr>
      <w:r w:rsidRPr="00742FF3">
        <w:rPr>
          <w:rFonts w:asciiTheme="majorHAnsi" w:eastAsia="Calibri" w:hAnsiTheme="majorHAnsi" w:cstheme="majorHAnsi"/>
          <w:sz w:val="24"/>
          <w:szCs w:val="24"/>
        </w:rPr>
        <w:t>MINISTÉRIO DA SAÚDE</w:t>
      </w:r>
      <w:r w:rsidR="00742FF3" w:rsidRPr="00742FF3">
        <w:rPr>
          <w:rFonts w:asciiTheme="majorHAnsi" w:eastAsia="Calibri" w:hAnsiTheme="majorHAnsi" w:cstheme="majorHAnsi"/>
          <w:sz w:val="24"/>
          <w:szCs w:val="24"/>
        </w:rPr>
        <w:t xml:space="preserve">. Brasil. Vigilância de Doenças Crônicas Não Transmissíveis no Brasil - 20 anos - avanços e desafios. 2026. </w:t>
      </w:r>
      <w:r w:rsidR="0019664A">
        <w:rPr>
          <w:rFonts w:asciiTheme="majorHAnsi" w:eastAsia="Calibri" w:hAnsiTheme="majorHAnsi" w:cstheme="majorHAnsi"/>
          <w:sz w:val="24"/>
          <w:szCs w:val="24"/>
        </w:rPr>
        <w:t>Disponível em:&lt;https://www.gov.br/saude/pt-br/centrais-de-conteudo/publicacoes/svsa/doencas-cronicas-nao-transmissiveis-dcnt/vigilancia-de-doencas-cronicas-nao-transmissiveis-no-brasil-20-anos-avancos-e-desafios.pdf/@download/file&gt;</w:t>
      </w:r>
      <w:r w:rsidR="0019664A" w:rsidRPr="0019664A">
        <w:rPr>
          <w:rFonts w:asciiTheme="majorHAnsi" w:eastAsia="Calibri" w:hAnsiTheme="majorHAnsi" w:cstheme="majorHAnsi"/>
          <w:color w:val="000000" w:themeColor="text1"/>
          <w:sz w:val="24"/>
          <w:szCs w:val="24"/>
        </w:rPr>
        <w:t>. Acesso em: 16 out. 2026.</w:t>
      </w:r>
    </w:p>
    <w:p w:rsidR="004A598B" w:rsidRPr="00A135A9" w:rsidRDefault="00C31FB8" w:rsidP="00A135A9">
      <w:pPr>
        <w:spacing w:line="240" w:lineRule="auto"/>
        <w:rPr>
          <w:rFonts w:asciiTheme="majorHAnsi" w:eastAsia="Calibri" w:hAnsiTheme="majorHAnsi" w:cstheme="majorHAnsi"/>
          <w:sz w:val="24"/>
          <w:szCs w:val="24"/>
        </w:rPr>
      </w:pPr>
      <w:r w:rsidRPr="00C31FB8">
        <w:rPr>
          <w:rFonts w:asciiTheme="majorHAnsi" w:eastAsia="Calibri" w:hAnsiTheme="majorHAnsi" w:cstheme="majorHAnsi"/>
          <w:sz w:val="24"/>
          <w:szCs w:val="24"/>
        </w:rPr>
        <w:lastRenderedPageBreak/>
        <w:t>ORGANIZAÇÃO MUNDIAL DA SAÚDE. Ageing and health. Genebra: World Health Organization, 2025. Disponível em: &lt;https://www.who.int/news-room/fact-sheets/detail/ageing-and-health&gt;. Acesso em: 16 out. 2026.</w:t>
      </w:r>
    </w:p>
    <w:sectPr w:rsidR="004A598B" w:rsidRPr="00A135A9" w:rsidSect="00867595">
      <w:headerReference w:type="default" r:id="rId8"/>
      <w:pgSz w:w="11909" w:h="16834" w:code="9"/>
      <w:pgMar w:top="1701" w:right="1134" w:bottom="1134" w:left="1701"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17B" w:rsidRDefault="005F717B">
      <w:pPr>
        <w:spacing w:line="240" w:lineRule="auto"/>
      </w:pPr>
      <w:r>
        <w:separator/>
      </w:r>
    </w:p>
  </w:endnote>
  <w:endnote w:type="continuationSeparator" w:id="0">
    <w:p w:rsidR="005F717B" w:rsidRDefault="005F71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boto">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17B" w:rsidRDefault="005F717B">
      <w:pPr>
        <w:spacing w:line="240" w:lineRule="auto"/>
      </w:pPr>
      <w:r>
        <w:separator/>
      </w:r>
    </w:p>
  </w:footnote>
  <w:footnote w:type="continuationSeparator" w:id="0">
    <w:p w:rsidR="005F717B" w:rsidRDefault="005F717B">
      <w:pPr>
        <w:spacing w:line="240" w:lineRule="auto"/>
      </w:pPr>
      <w:r>
        <w:continuationSeparator/>
      </w:r>
    </w:p>
  </w:footnote>
  <w:footnote w:id="1">
    <w:p w:rsidR="008D3098" w:rsidRDefault="008D3098" w:rsidP="008D3098">
      <w:pPr>
        <w:spacing w:line="240" w:lineRule="auto"/>
        <w:jc w:val="both"/>
        <w:rPr>
          <w:rFonts w:ascii="Calibri" w:eastAsia="Calibri" w:hAnsi="Calibri" w:cs="Calibri"/>
          <w:sz w:val="20"/>
          <w:szCs w:val="20"/>
        </w:rPr>
      </w:pPr>
      <w:r>
        <w:rPr>
          <w:vertAlign w:val="superscript"/>
        </w:rPr>
        <w:footnoteRef/>
      </w:r>
      <w:r>
        <w:rPr>
          <w:sz w:val="20"/>
          <w:szCs w:val="20"/>
        </w:rPr>
        <w:t xml:space="preserve"> </w:t>
      </w:r>
      <w:r w:rsidRPr="008D3098">
        <w:rPr>
          <w:rFonts w:ascii="Calibri" w:eastAsia="Calibri" w:hAnsi="Calibri" w:cs="Calibri"/>
          <w:sz w:val="20"/>
          <w:szCs w:val="20"/>
        </w:rPr>
        <w:t>Armazenamento e descarte de medicamentos domiciliares por idosos: riscos ambientais e sanitários.</w:t>
      </w:r>
      <w:r>
        <w:rPr>
          <w:rFonts w:ascii="Calibri" w:eastAsia="Calibri" w:hAnsi="Calibri" w:cs="Calibri"/>
          <w:sz w:val="20"/>
          <w:szCs w:val="20"/>
        </w:rPr>
        <w:t xml:space="preserve"> Saúde. Relato de experiência.</w:t>
      </w:r>
    </w:p>
  </w:footnote>
  <w:footnote w:id="2">
    <w:p w:rsidR="00826A48" w:rsidRDefault="000C0B27">
      <w:pPr>
        <w:spacing w:line="240" w:lineRule="auto"/>
        <w:jc w:val="both"/>
        <w:rPr>
          <w:rFonts w:ascii="Calibri" w:eastAsia="Calibri" w:hAnsi="Calibri" w:cs="Calibri"/>
          <w:sz w:val="20"/>
          <w:szCs w:val="20"/>
        </w:rPr>
      </w:pPr>
      <w:r>
        <w:rPr>
          <w:vertAlign w:val="superscript"/>
        </w:rPr>
        <w:footnoteRef/>
      </w:r>
      <w:r>
        <w:rPr>
          <w:sz w:val="20"/>
          <w:szCs w:val="20"/>
        </w:rPr>
        <w:t xml:space="preserve"> </w:t>
      </w:r>
      <w:r w:rsidR="0092797C">
        <w:rPr>
          <w:rFonts w:ascii="Calibri" w:eastAsia="Calibri" w:hAnsi="Calibri" w:cs="Calibri"/>
          <w:sz w:val="20"/>
          <w:szCs w:val="20"/>
        </w:rPr>
        <w:t>Doutorado</w:t>
      </w:r>
      <w:r>
        <w:rPr>
          <w:rFonts w:ascii="Calibri" w:eastAsia="Calibri" w:hAnsi="Calibri" w:cs="Calibri"/>
          <w:sz w:val="20"/>
          <w:szCs w:val="20"/>
        </w:rPr>
        <w:t xml:space="preserve">, </w:t>
      </w:r>
      <w:r w:rsidR="0092797C">
        <w:rPr>
          <w:rFonts w:ascii="Calibri" w:eastAsia="Calibri" w:hAnsi="Calibri" w:cs="Calibri"/>
          <w:sz w:val="20"/>
          <w:szCs w:val="20"/>
        </w:rPr>
        <w:t>professora associada da UFJF-GV</w:t>
      </w:r>
      <w:r>
        <w:rPr>
          <w:rFonts w:ascii="Calibri" w:eastAsia="Calibri" w:hAnsi="Calibri" w:cs="Calibri"/>
          <w:sz w:val="20"/>
          <w:szCs w:val="20"/>
        </w:rPr>
        <w:t xml:space="preserve">, </w:t>
      </w:r>
      <w:r w:rsidR="0092797C">
        <w:rPr>
          <w:rFonts w:ascii="Calibri" w:eastAsia="Calibri" w:hAnsi="Calibri" w:cs="Calibri"/>
          <w:sz w:val="20"/>
          <w:szCs w:val="20"/>
        </w:rPr>
        <w:t>coordenadora do projeto.</w:t>
      </w:r>
      <w:r>
        <w:rPr>
          <w:rFonts w:ascii="Calibri" w:eastAsia="Calibri" w:hAnsi="Calibri" w:cs="Calibri"/>
          <w:sz w:val="20"/>
          <w:szCs w:val="20"/>
        </w:rPr>
        <w:t xml:space="preserve"> e-mail: </w:t>
      </w:r>
      <w:r w:rsidR="0092797C">
        <w:rPr>
          <w:rFonts w:ascii="Calibri" w:eastAsia="Calibri" w:hAnsi="Calibri" w:cs="Calibri"/>
          <w:sz w:val="20"/>
          <w:szCs w:val="20"/>
        </w:rPr>
        <w:t>ydia.v</w:t>
      </w:r>
      <w:r w:rsidR="00B617CA">
        <w:rPr>
          <w:rFonts w:ascii="Calibri" w:eastAsia="Calibri" w:hAnsi="Calibri" w:cs="Calibri"/>
          <w:sz w:val="20"/>
          <w:szCs w:val="20"/>
        </w:rPr>
        <w:t>a</w:t>
      </w:r>
      <w:r w:rsidR="0092797C">
        <w:rPr>
          <w:rFonts w:ascii="Calibri" w:eastAsia="Calibri" w:hAnsi="Calibri" w:cs="Calibri"/>
          <w:sz w:val="20"/>
          <w:szCs w:val="20"/>
        </w:rPr>
        <w:t>ladares@ufjf.br</w:t>
      </w:r>
      <w:r w:rsidR="00F70B77">
        <w:rPr>
          <w:rFonts w:ascii="Calibri" w:eastAsia="Calibri" w:hAnsi="Calibri" w:cs="Calibri"/>
          <w:sz w:val="20"/>
          <w:szCs w:val="20"/>
        </w:rPr>
        <w:t>.</w:t>
      </w:r>
    </w:p>
  </w:footnote>
  <w:footnote w:id="3">
    <w:p w:rsidR="00826A48" w:rsidRPr="00B617CA" w:rsidRDefault="000C0B27">
      <w:pPr>
        <w:spacing w:line="240" w:lineRule="auto"/>
        <w:rPr>
          <w:rFonts w:ascii="Calibri" w:eastAsia="Calibri" w:hAnsi="Calibri" w:cs="Calibri"/>
          <w:sz w:val="20"/>
          <w:szCs w:val="20"/>
        </w:rPr>
      </w:pPr>
      <w:r>
        <w:rPr>
          <w:vertAlign w:val="superscript"/>
        </w:rPr>
        <w:footnoteRef/>
      </w:r>
      <w:r>
        <w:rPr>
          <w:sz w:val="20"/>
          <w:szCs w:val="20"/>
        </w:rPr>
        <w:t xml:space="preserve"> </w:t>
      </w:r>
      <w:r w:rsidR="0092797C">
        <w:rPr>
          <w:rFonts w:ascii="Calibri" w:eastAsia="Calibri" w:hAnsi="Calibri" w:cs="Calibri"/>
          <w:sz w:val="20"/>
          <w:szCs w:val="20"/>
        </w:rPr>
        <w:t xml:space="preserve">Doutorado, professor associada da UFJF-GV, </w:t>
      </w:r>
      <w:r w:rsidR="00B617CA">
        <w:rPr>
          <w:rFonts w:ascii="Calibri" w:eastAsia="Calibri" w:hAnsi="Calibri" w:cs="Calibri"/>
          <w:sz w:val="20"/>
          <w:szCs w:val="20"/>
        </w:rPr>
        <w:t>colaborador</w:t>
      </w:r>
      <w:r w:rsidR="0092797C">
        <w:rPr>
          <w:rFonts w:ascii="Calibri" w:eastAsia="Calibri" w:hAnsi="Calibri" w:cs="Calibri"/>
          <w:sz w:val="20"/>
          <w:szCs w:val="20"/>
        </w:rPr>
        <w:t xml:space="preserve"> do projeto. e-mail: </w:t>
      </w:r>
      <w:r w:rsidR="00A53C45">
        <w:rPr>
          <w:rFonts w:ascii="Calibri" w:eastAsia="Calibri" w:hAnsi="Calibri" w:cs="Calibri"/>
          <w:sz w:val="20"/>
          <w:szCs w:val="20"/>
        </w:rPr>
        <w:t>l</w:t>
      </w:r>
      <w:r w:rsidR="00B617CA">
        <w:rPr>
          <w:rFonts w:ascii="Calibri" w:eastAsia="Calibri" w:hAnsi="Calibri" w:cs="Calibri"/>
          <w:sz w:val="20"/>
          <w:szCs w:val="20"/>
        </w:rPr>
        <w:t>eonardo.lemos</w:t>
      </w:r>
      <w:r w:rsidR="0092797C">
        <w:rPr>
          <w:rFonts w:ascii="Calibri" w:eastAsia="Calibri" w:hAnsi="Calibri" w:cs="Calibri"/>
          <w:sz w:val="20"/>
          <w:szCs w:val="20"/>
        </w:rPr>
        <w:t>@ufjf.br</w:t>
      </w:r>
      <w:r w:rsidR="00F70B77">
        <w:rPr>
          <w:rFonts w:ascii="Calibri" w:eastAsia="Calibri" w:hAnsi="Calibri" w:cs="Calibri"/>
          <w:sz w:val="20"/>
          <w:szCs w:val="20"/>
        </w:rPr>
        <w:t>.</w:t>
      </w:r>
    </w:p>
  </w:footnote>
  <w:footnote w:id="4">
    <w:p w:rsidR="00826A48" w:rsidRPr="00A53C45" w:rsidRDefault="00A53C45">
      <w:pPr>
        <w:spacing w:line="240" w:lineRule="auto"/>
        <w:rPr>
          <w:rFonts w:ascii="Calibri" w:eastAsia="Calibri" w:hAnsi="Calibri" w:cs="Calibri"/>
          <w:sz w:val="20"/>
          <w:szCs w:val="20"/>
        </w:rPr>
      </w:pPr>
      <w:r w:rsidRPr="00A53C45">
        <w:rPr>
          <w:vertAlign w:val="superscript"/>
        </w:rPr>
        <w:footnoteRef/>
      </w:r>
      <w:r>
        <w:rPr>
          <w:rFonts w:ascii="Calibri" w:eastAsia="Calibri" w:hAnsi="Calibri" w:cs="Calibri"/>
          <w:sz w:val="20"/>
          <w:szCs w:val="20"/>
        </w:rPr>
        <w:t xml:space="preserve"> Graduanda de Farmácia da UFJF-GV., bolsista do projeto. </w:t>
      </w:r>
      <w:r w:rsidRPr="00A53C45">
        <w:rPr>
          <w:rFonts w:ascii="Calibri" w:eastAsia="Calibri" w:hAnsi="Calibri" w:cs="Calibri"/>
          <w:sz w:val="20"/>
          <w:szCs w:val="20"/>
        </w:rPr>
        <w:t>beatriz.machado@estudante.ufjf.br</w:t>
      </w:r>
      <w:r w:rsidR="00F70B77">
        <w:rPr>
          <w:rFonts w:ascii="Calibri" w:eastAsia="Calibri" w:hAnsi="Calibri" w:cs="Calibri"/>
          <w:sz w:val="20"/>
          <w:szCs w:val="20"/>
        </w:rPr>
        <w:t>.</w:t>
      </w:r>
    </w:p>
  </w:footnote>
  <w:footnote w:id="5">
    <w:p w:rsidR="00A53C45" w:rsidRDefault="000C0B27">
      <w:pPr>
        <w:spacing w:line="240" w:lineRule="auto"/>
        <w:rPr>
          <w:sz w:val="20"/>
          <w:szCs w:val="20"/>
        </w:rPr>
      </w:pPr>
      <w:r>
        <w:rPr>
          <w:vertAlign w:val="superscript"/>
        </w:rPr>
        <w:footnoteRef/>
      </w:r>
      <w:r>
        <w:rPr>
          <w:sz w:val="20"/>
          <w:szCs w:val="20"/>
        </w:rPr>
        <w:t xml:space="preserve"> </w:t>
      </w:r>
      <w:r w:rsidR="00A53C45" w:rsidRPr="00A53C45">
        <w:rPr>
          <w:rFonts w:ascii="Calibri" w:eastAsia="Calibri" w:hAnsi="Calibri" w:cs="Calibri"/>
          <w:sz w:val="20"/>
          <w:szCs w:val="20"/>
        </w:rPr>
        <w:t>Graduanda de Farmácia da UFJF-GV., bolsista do projeto.</w:t>
      </w:r>
      <w:r w:rsidR="00A53C45">
        <w:rPr>
          <w:rFonts w:ascii="Calibri" w:eastAsia="Calibri" w:hAnsi="Calibri" w:cs="Calibri"/>
          <w:sz w:val="20"/>
          <w:szCs w:val="20"/>
        </w:rPr>
        <w:t xml:space="preserve"> </w:t>
      </w:r>
      <w:r w:rsidR="00F70B77" w:rsidRPr="00F70B77">
        <w:rPr>
          <w:rFonts w:ascii="Calibri" w:eastAsia="Calibri" w:hAnsi="Calibri" w:cs="Calibri"/>
          <w:sz w:val="20"/>
          <w:szCs w:val="20"/>
        </w:rPr>
        <w:t>brenda.pires@estudante.ufjf.br</w:t>
      </w:r>
      <w:r w:rsidR="00F70B77">
        <w:rPr>
          <w:rFonts w:ascii="Calibri" w:eastAsia="Calibri" w:hAnsi="Calibri" w:cs="Calibri"/>
          <w:sz w:val="20"/>
          <w:szCs w:val="20"/>
        </w:rPr>
        <w:t>.</w:t>
      </w:r>
    </w:p>
  </w:footnote>
  <w:footnote w:id="6">
    <w:p w:rsidR="00A53C45" w:rsidRDefault="00A53C45" w:rsidP="00A53C45">
      <w:pPr>
        <w:spacing w:line="240" w:lineRule="auto"/>
        <w:rPr>
          <w:sz w:val="20"/>
          <w:szCs w:val="20"/>
        </w:rPr>
      </w:pPr>
      <w:r>
        <w:rPr>
          <w:vertAlign w:val="superscript"/>
        </w:rPr>
        <w:footnoteRef/>
      </w:r>
      <w:r>
        <w:rPr>
          <w:sz w:val="20"/>
          <w:szCs w:val="20"/>
        </w:rPr>
        <w:t xml:space="preserve"> </w:t>
      </w:r>
      <w:r w:rsidRPr="00A53C45">
        <w:rPr>
          <w:rFonts w:ascii="Calibri" w:eastAsia="Calibri" w:hAnsi="Calibri" w:cs="Calibri"/>
          <w:sz w:val="20"/>
          <w:szCs w:val="20"/>
        </w:rPr>
        <w:t>Graduanda de Farmácia da UFJF-GV., bolsista do projeto.</w:t>
      </w:r>
      <w:r w:rsidR="00F70B77">
        <w:rPr>
          <w:rFonts w:ascii="Calibri" w:eastAsia="Calibri" w:hAnsi="Calibri" w:cs="Calibri"/>
          <w:sz w:val="20"/>
          <w:szCs w:val="20"/>
        </w:rPr>
        <w:t xml:space="preserve"> </w:t>
      </w:r>
      <w:r w:rsidR="00F70B77" w:rsidRPr="00F70B77">
        <w:rPr>
          <w:rFonts w:ascii="Calibri" w:eastAsia="Calibri" w:hAnsi="Calibri" w:cs="Calibri"/>
          <w:sz w:val="20"/>
          <w:szCs w:val="20"/>
        </w:rPr>
        <w:t>18431362790@estudante.ufjf.br</w:t>
      </w:r>
      <w:r w:rsidR="00F70B77">
        <w:rPr>
          <w:rFonts w:ascii="Calibri" w:eastAsia="Calibri" w:hAnsi="Calibri" w:cs="Calibri"/>
          <w:sz w:val="20"/>
          <w:szCs w:val="20"/>
        </w:rPr>
        <w:t>.</w:t>
      </w:r>
    </w:p>
  </w:footnote>
  <w:footnote w:id="7">
    <w:p w:rsidR="00A53C45" w:rsidRDefault="00A53C45" w:rsidP="00A53C45">
      <w:pPr>
        <w:spacing w:line="240" w:lineRule="auto"/>
        <w:rPr>
          <w:rFonts w:ascii="Calibri" w:eastAsia="Calibri" w:hAnsi="Calibri" w:cs="Calibri"/>
          <w:sz w:val="20"/>
          <w:szCs w:val="20"/>
        </w:rPr>
      </w:pPr>
      <w:r>
        <w:rPr>
          <w:vertAlign w:val="superscript"/>
        </w:rPr>
        <w:footnoteRef/>
      </w:r>
      <w:r>
        <w:rPr>
          <w:sz w:val="20"/>
          <w:szCs w:val="20"/>
        </w:rPr>
        <w:t xml:space="preserve"> </w:t>
      </w:r>
      <w:r w:rsidRPr="00A53C45">
        <w:rPr>
          <w:rFonts w:ascii="Calibri" w:eastAsia="Calibri" w:hAnsi="Calibri" w:cs="Calibri"/>
          <w:sz w:val="20"/>
          <w:szCs w:val="20"/>
        </w:rPr>
        <w:t>Graduanda de Farmácia da UFJF-GV., bolsista do projeto.</w:t>
      </w:r>
      <w:r w:rsidR="00F70B77">
        <w:rPr>
          <w:rFonts w:ascii="Calibri" w:eastAsia="Calibri" w:hAnsi="Calibri" w:cs="Calibri"/>
          <w:sz w:val="20"/>
          <w:szCs w:val="20"/>
        </w:rPr>
        <w:t xml:space="preserve"> </w:t>
      </w:r>
      <w:r w:rsidR="00F70B77" w:rsidRPr="00F70B77">
        <w:rPr>
          <w:rFonts w:ascii="Calibri" w:eastAsia="Calibri" w:hAnsi="Calibri" w:cs="Calibri"/>
          <w:sz w:val="20"/>
          <w:szCs w:val="20"/>
        </w:rPr>
        <w:t>14212403609@estudante.ufjf.br</w:t>
      </w:r>
      <w:r w:rsidR="00F70B77">
        <w:rPr>
          <w:rFonts w:ascii="Calibri" w:eastAsia="Calibri" w:hAnsi="Calibri" w:cs="Calibri"/>
          <w:sz w:val="20"/>
          <w:szCs w:val="20"/>
        </w:rPr>
        <w:t>.</w:t>
      </w:r>
    </w:p>
    <w:p w:rsidR="00A53C45" w:rsidRDefault="00A53C45" w:rsidP="00A53C45">
      <w:pPr>
        <w:spacing w:line="240" w:lineRule="auto"/>
        <w:rPr>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A48" w:rsidRDefault="000C0B27">
    <w:pPr>
      <w:jc w:val="center"/>
    </w:pPr>
    <w:r>
      <w:rPr>
        <w:noProof/>
      </w:rPr>
      <w:drawing>
        <wp:inline distT="114300" distB="114300" distL="114300" distR="114300">
          <wp:extent cx="1032038" cy="58638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32038" cy="586385"/>
                  </a:xfrm>
                  <a:prstGeom prst="rect">
                    <a:avLst/>
                  </a:prstGeom>
                  <a:ln/>
                </pic:spPr>
              </pic:pic>
            </a:graphicData>
          </a:graphic>
        </wp:inline>
      </w:drawing>
    </w:r>
    <w:r>
      <w:rPr>
        <w:noProof/>
      </w:rPr>
      <w:drawing>
        <wp:inline distT="114300" distB="114300" distL="114300" distR="114300">
          <wp:extent cx="1882612" cy="524959"/>
          <wp:effectExtent l="0" t="0" r="0" b="0"/>
          <wp:docPr id="2" name="image2.gif"/>
          <wp:cNvGraphicFramePr/>
          <a:graphic xmlns:a="http://schemas.openxmlformats.org/drawingml/2006/main">
            <a:graphicData uri="http://schemas.openxmlformats.org/drawingml/2006/picture">
              <pic:pic xmlns:pic="http://schemas.openxmlformats.org/drawingml/2006/picture">
                <pic:nvPicPr>
                  <pic:cNvPr id="0" name="image2.gif"/>
                  <pic:cNvPicPr preferRelativeResize="0"/>
                </pic:nvPicPr>
                <pic:blipFill>
                  <a:blip r:embed="rId2"/>
                  <a:srcRect/>
                  <a:stretch>
                    <a:fillRect/>
                  </a:stretch>
                </pic:blipFill>
                <pic:spPr>
                  <a:xfrm>
                    <a:off x="0" y="0"/>
                    <a:ext cx="1882612" cy="524959"/>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C70B0"/>
    <w:multiLevelType w:val="multilevel"/>
    <w:tmpl w:val="BB02EE46"/>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B191645"/>
    <w:multiLevelType w:val="multilevel"/>
    <w:tmpl w:val="0D0CE42A"/>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1EA6A0B"/>
    <w:multiLevelType w:val="multilevel"/>
    <w:tmpl w:val="D61A6074"/>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93825E6"/>
    <w:multiLevelType w:val="multilevel"/>
    <w:tmpl w:val="58FC11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DE467A2"/>
    <w:multiLevelType w:val="multilevel"/>
    <w:tmpl w:val="E56A9E36"/>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0A46CC3"/>
    <w:multiLevelType w:val="multilevel"/>
    <w:tmpl w:val="89F0597A"/>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50D6747"/>
    <w:multiLevelType w:val="multilevel"/>
    <w:tmpl w:val="93221C44"/>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2DE6D8D"/>
    <w:multiLevelType w:val="multilevel"/>
    <w:tmpl w:val="F1B8B2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5"/>
  </w:num>
  <w:num w:numId="3">
    <w:abstractNumId w:val="0"/>
  </w:num>
  <w:num w:numId="4">
    <w:abstractNumId w:val="3"/>
  </w:num>
  <w:num w:numId="5">
    <w:abstractNumId w:val="6"/>
  </w:num>
  <w:num w:numId="6">
    <w:abstractNumId w:val="4"/>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A48"/>
    <w:rsid w:val="000035B4"/>
    <w:rsid w:val="000C0B27"/>
    <w:rsid w:val="000C0D11"/>
    <w:rsid w:val="0019664A"/>
    <w:rsid w:val="002D54BE"/>
    <w:rsid w:val="00346784"/>
    <w:rsid w:val="004A598B"/>
    <w:rsid w:val="00581475"/>
    <w:rsid w:val="005F717B"/>
    <w:rsid w:val="00742FF3"/>
    <w:rsid w:val="00796DAA"/>
    <w:rsid w:val="00826A48"/>
    <w:rsid w:val="00844C0A"/>
    <w:rsid w:val="008501D7"/>
    <w:rsid w:val="00867595"/>
    <w:rsid w:val="008A5D16"/>
    <w:rsid w:val="008D3098"/>
    <w:rsid w:val="008D718E"/>
    <w:rsid w:val="0092797C"/>
    <w:rsid w:val="00995D6D"/>
    <w:rsid w:val="009D0ECD"/>
    <w:rsid w:val="00A135A9"/>
    <w:rsid w:val="00A53C45"/>
    <w:rsid w:val="00B12F28"/>
    <w:rsid w:val="00B617CA"/>
    <w:rsid w:val="00B87FBB"/>
    <w:rsid w:val="00BB3AC7"/>
    <w:rsid w:val="00C31FB8"/>
    <w:rsid w:val="00DA726F"/>
    <w:rsid w:val="00F70B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BA72D0-5BC7-41A0-90A1-2F92D570F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character" w:styleId="Refdecomentrio">
    <w:name w:val="annotation reference"/>
    <w:basedOn w:val="Fontepargpadro"/>
    <w:uiPriority w:val="99"/>
    <w:semiHidden/>
    <w:unhideWhenUsed/>
    <w:rsid w:val="00A53C45"/>
    <w:rPr>
      <w:sz w:val="16"/>
      <w:szCs w:val="16"/>
    </w:rPr>
  </w:style>
  <w:style w:type="paragraph" w:styleId="Textodecomentrio">
    <w:name w:val="annotation text"/>
    <w:basedOn w:val="Normal"/>
    <w:link w:val="TextodecomentrioChar"/>
    <w:uiPriority w:val="99"/>
    <w:semiHidden/>
    <w:unhideWhenUsed/>
    <w:rsid w:val="00A53C4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53C45"/>
    <w:rPr>
      <w:sz w:val="20"/>
      <w:szCs w:val="20"/>
    </w:rPr>
  </w:style>
  <w:style w:type="paragraph" w:styleId="Assuntodocomentrio">
    <w:name w:val="annotation subject"/>
    <w:basedOn w:val="Textodecomentrio"/>
    <w:next w:val="Textodecomentrio"/>
    <w:link w:val="AssuntodocomentrioChar"/>
    <w:uiPriority w:val="99"/>
    <w:semiHidden/>
    <w:unhideWhenUsed/>
    <w:rsid w:val="00A53C45"/>
    <w:rPr>
      <w:b/>
      <w:bCs/>
    </w:rPr>
  </w:style>
  <w:style w:type="character" w:customStyle="1" w:styleId="AssuntodocomentrioChar">
    <w:name w:val="Assunto do comentário Char"/>
    <w:basedOn w:val="TextodecomentrioChar"/>
    <w:link w:val="Assuntodocomentrio"/>
    <w:uiPriority w:val="99"/>
    <w:semiHidden/>
    <w:rsid w:val="00A53C45"/>
    <w:rPr>
      <w:b/>
      <w:bCs/>
      <w:sz w:val="20"/>
      <w:szCs w:val="20"/>
    </w:rPr>
  </w:style>
  <w:style w:type="paragraph" w:styleId="Textodebalo">
    <w:name w:val="Balloon Text"/>
    <w:basedOn w:val="Normal"/>
    <w:link w:val="TextodebaloChar"/>
    <w:uiPriority w:val="99"/>
    <w:semiHidden/>
    <w:unhideWhenUsed/>
    <w:rsid w:val="00A53C45"/>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53C45"/>
    <w:rPr>
      <w:rFonts w:ascii="Segoe UI" w:hAnsi="Segoe UI" w:cs="Segoe UI"/>
      <w:sz w:val="18"/>
      <w:szCs w:val="18"/>
    </w:rPr>
  </w:style>
  <w:style w:type="character" w:styleId="Hyperlink">
    <w:name w:val="Hyperlink"/>
    <w:basedOn w:val="Fontepargpadro"/>
    <w:uiPriority w:val="99"/>
    <w:unhideWhenUsed/>
    <w:rsid w:val="00742F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98EDE-F6A6-47D0-879A-9CC5EE7B1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10</Pages>
  <Words>2886</Words>
  <Characters>18388</Characters>
  <Application>Microsoft Office Word</Application>
  <DocSecurity>0</DocSecurity>
  <Lines>525</Lines>
  <Paragraphs>233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bolsista</dc:creator>
  <cp:lastModifiedBy>MaxLime</cp:lastModifiedBy>
  <cp:revision>13</cp:revision>
  <dcterms:created xsi:type="dcterms:W3CDTF">2026-10-19T16:21:00Z</dcterms:created>
  <dcterms:modified xsi:type="dcterms:W3CDTF">2026-10-19T17:09:00Z</dcterms:modified>
</cp:coreProperties>
</file>