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EAA62" w14:textId="01D53EC9" w:rsidR="00093E1E" w:rsidRDefault="00B57BAB">
      <w:pPr>
        <w:spacing w:after="240" w:line="360" w:lineRule="auto"/>
        <w:jc w:val="center"/>
      </w:pPr>
      <w:r>
        <w:rPr>
          <w:b/>
          <w:bCs/>
          <w:sz w:val="28"/>
          <w:szCs w:val="28"/>
        </w:rPr>
        <w:t xml:space="preserve">  ALIVIANDO DORES OROFACIAIS: RELATO DE EXPERIÊNCIA NO CUIDADO ÀS DTMs E AO BRUXISMO</w:t>
      </w:r>
    </w:p>
    <w:p w14:paraId="503B3D94" w14:textId="7F487DF6" w:rsidR="00093E1E" w:rsidRDefault="00B57BAB" w:rsidP="00FD29F0">
      <w:pPr>
        <w:spacing w:line="360" w:lineRule="auto"/>
        <w:jc w:val="center"/>
      </w:pPr>
      <w:r w:rsidRPr="0069040A">
        <w:t xml:space="preserve">Iana Ferreira Castro¹; </w:t>
      </w:r>
      <w:proofErr w:type="spellStart"/>
      <w:r w:rsidRPr="0069040A">
        <w:t>Rana</w:t>
      </w:r>
      <w:proofErr w:type="spellEnd"/>
      <w:r w:rsidRPr="0069040A">
        <w:t xml:space="preserve"> Luísa de Paula</w:t>
      </w:r>
      <w:r w:rsidR="00FD29F0" w:rsidRPr="0069040A">
        <w:t xml:space="preserve"> Santos</w:t>
      </w:r>
      <w:r w:rsidRPr="0069040A">
        <w:t xml:space="preserve">¹; </w:t>
      </w:r>
      <w:proofErr w:type="spellStart"/>
      <w:r w:rsidR="00FD29F0" w:rsidRPr="0069040A">
        <w:t>Lhara</w:t>
      </w:r>
      <w:proofErr w:type="spellEnd"/>
      <w:r w:rsidR="00FD29F0" w:rsidRPr="0069040A">
        <w:t xml:space="preserve"> Gabriella Porfírio da Silva</w:t>
      </w:r>
      <w:r w:rsidR="00FD29F0" w:rsidRPr="0069040A">
        <w:rPr>
          <w:vertAlign w:val="superscript"/>
        </w:rPr>
        <w:t>2</w:t>
      </w:r>
      <w:r w:rsidR="00FD29F0" w:rsidRPr="0069040A">
        <w:t>, Gabriela Fernandes de Oliveira</w:t>
      </w:r>
      <w:r w:rsidR="00FD29F0" w:rsidRPr="0069040A">
        <w:rPr>
          <w:vertAlign w:val="superscript"/>
        </w:rPr>
        <w:t>2</w:t>
      </w:r>
      <w:r w:rsidR="00FD29F0" w:rsidRPr="0069040A">
        <w:t>, Lorena Costa Reis Marcos</w:t>
      </w:r>
      <w:r w:rsidR="00FD29F0" w:rsidRPr="0069040A">
        <w:rPr>
          <w:vertAlign w:val="superscript"/>
        </w:rPr>
        <w:t>2</w:t>
      </w:r>
      <w:r w:rsidR="00FD29F0" w:rsidRPr="0069040A">
        <w:t xml:space="preserve">, </w:t>
      </w:r>
      <w:proofErr w:type="spellStart"/>
      <w:r w:rsidR="00FD29F0" w:rsidRPr="0069040A">
        <w:t>Mycaella</w:t>
      </w:r>
      <w:proofErr w:type="spellEnd"/>
      <w:r w:rsidR="00FD29F0" w:rsidRPr="0069040A">
        <w:t xml:space="preserve"> Silva de Lima</w:t>
      </w:r>
      <w:r w:rsidR="00FD29F0" w:rsidRPr="0069040A">
        <w:rPr>
          <w:vertAlign w:val="superscript"/>
        </w:rPr>
        <w:t>2</w:t>
      </w:r>
      <w:r w:rsidR="00FD29F0" w:rsidRPr="0069040A">
        <w:t>, Eduarda Duarte Silva</w:t>
      </w:r>
      <w:r w:rsidR="00FD29F0" w:rsidRPr="0069040A">
        <w:rPr>
          <w:vertAlign w:val="superscript"/>
        </w:rPr>
        <w:t>2</w:t>
      </w:r>
      <w:r w:rsidR="00FD29F0" w:rsidRPr="0069040A">
        <w:t xml:space="preserve">, </w:t>
      </w:r>
      <w:proofErr w:type="spellStart"/>
      <w:r w:rsidR="00FD29F0" w:rsidRPr="0069040A">
        <w:t>Lívian</w:t>
      </w:r>
      <w:proofErr w:type="spellEnd"/>
      <w:r w:rsidR="00FD29F0" w:rsidRPr="0069040A">
        <w:t xml:space="preserve"> Maria de Oliveira Paiva</w:t>
      </w:r>
      <w:r w:rsidR="00FD29F0" w:rsidRPr="0069040A">
        <w:rPr>
          <w:vertAlign w:val="superscript"/>
        </w:rPr>
        <w:t>2</w:t>
      </w:r>
      <w:r w:rsidR="00FD29F0" w:rsidRPr="0069040A">
        <w:rPr>
          <w:vertAlign w:val="superscript"/>
        </w:rPr>
        <w:t>,</w:t>
      </w:r>
      <w:r w:rsidR="00FD29F0" w:rsidRPr="0069040A">
        <w:t xml:space="preserve"> </w:t>
      </w:r>
      <w:proofErr w:type="spellStart"/>
      <w:r w:rsidR="00FD29F0" w:rsidRPr="0069040A">
        <w:t>Karol</w:t>
      </w:r>
      <w:proofErr w:type="spellEnd"/>
      <w:r w:rsidR="00FD29F0" w:rsidRPr="0069040A">
        <w:t xml:space="preserve"> </w:t>
      </w:r>
      <w:proofErr w:type="spellStart"/>
      <w:r w:rsidR="00FD29F0" w:rsidRPr="0069040A">
        <w:t>Baldow</w:t>
      </w:r>
      <w:proofErr w:type="spellEnd"/>
      <w:r w:rsidR="00FD29F0" w:rsidRPr="0069040A">
        <w:t xml:space="preserve"> Policarpo</w:t>
      </w:r>
      <w:r w:rsidR="00FD29F0" w:rsidRPr="0069040A">
        <w:rPr>
          <w:vertAlign w:val="superscript"/>
        </w:rPr>
        <w:t>2</w:t>
      </w:r>
      <w:r w:rsidR="00FD29F0" w:rsidRPr="0069040A">
        <w:t xml:space="preserve">, </w:t>
      </w:r>
      <w:r w:rsidR="00FD29F0" w:rsidRPr="0069040A">
        <w:t>Júlia Melo de Abreu Vieira¹</w:t>
      </w:r>
      <w:r w:rsidR="00FD29F0" w:rsidRPr="0069040A">
        <w:t xml:space="preserve">, </w:t>
      </w:r>
      <w:proofErr w:type="spellStart"/>
      <w:r w:rsidR="0069040A" w:rsidRPr="0069040A">
        <w:t>Izabela</w:t>
      </w:r>
      <w:proofErr w:type="spellEnd"/>
      <w:r w:rsidR="0069040A" w:rsidRPr="0069040A">
        <w:t xml:space="preserve"> da Costa¹,</w:t>
      </w:r>
      <w:r w:rsidR="0069040A" w:rsidRPr="0069040A">
        <w:t xml:space="preserve"> </w:t>
      </w:r>
      <w:r w:rsidRPr="0069040A">
        <w:t>Jean Soares Miranda</w:t>
      </w:r>
      <w:r w:rsidR="00FD29F0" w:rsidRPr="0069040A">
        <w:rPr>
          <w:vertAlign w:val="superscript"/>
        </w:rPr>
        <w:t>3</w:t>
      </w:r>
    </w:p>
    <w:p w14:paraId="6AFFC576" w14:textId="77777777" w:rsidR="00FD29F0" w:rsidRPr="00B57BAB" w:rsidRDefault="00FD29F0" w:rsidP="00FD29F0">
      <w:pPr>
        <w:spacing w:line="360" w:lineRule="auto"/>
        <w:jc w:val="center"/>
      </w:pPr>
    </w:p>
    <w:p w14:paraId="2813514E" w14:textId="2A523991" w:rsidR="00FD29F0" w:rsidRDefault="00975035" w:rsidP="00FD29F0">
      <w:pPr>
        <w:spacing w:line="360" w:lineRule="auto"/>
        <w:jc w:val="center"/>
      </w:pPr>
      <w:r w:rsidRPr="00B57BAB">
        <w:t>¹ Discente do</w:t>
      </w:r>
      <w:r w:rsidR="00B57BAB" w:rsidRPr="00B57BAB">
        <w:t xml:space="preserve"> </w:t>
      </w:r>
      <w:r w:rsidR="00FD29F0">
        <w:t>Programa de Pós-Graduação de Ciências Aplicadas a Saúde (</w:t>
      </w:r>
      <w:proofErr w:type="spellStart"/>
      <w:r w:rsidR="00FD29F0">
        <w:t>PPgCAS</w:t>
      </w:r>
      <w:proofErr w:type="spellEnd"/>
      <w:r w:rsidR="00FD29F0">
        <w:t>) da Universidade Federal de Juiz de Fora, campus Governador Valadares (</w:t>
      </w:r>
      <w:r w:rsidRPr="00B57BAB">
        <w:t>UFJF-GV</w:t>
      </w:r>
      <w:r w:rsidR="00FD29F0">
        <w:t>)</w:t>
      </w:r>
    </w:p>
    <w:p w14:paraId="2F772ED7" w14:textId="5A8DFCA2" w:rsidR="0069040A" w:rsidRPr="0069040A" w:rsidRDefault="0069040A" w:rsidP="00FD29F0">
      <w:pPr>
        <w:spacing w:line="360" w:lineRule="auto"/>
        <w:jc w:val="center"/>
      </w:pPr>
      <w:r>
        <w:rPr>
          <w:vertAlign w:val="superscript"/>
        </w:rPr>
        <w:t>2</w:t>
      </w:r>
      <w:r>
        <w:t>Discente da Graduação em Odontologia da UFJF-GV</w:t>
      </w:r>
    </w:p>
    <w:p w14:paraId="0BB637A7" w14:textId="7100002A" w:rsidR="00093E1E" w:rsidRDefault="00FD29F0" w:rsidP="00FD29F0">
      <w:pPr>
        <w:spacing w:line="360" w:lineRule="auto"/>
        <w:jc w:val="center"/>
      </w:pPr>
      <w:r>
        <w:rPr>
          <w:vertAlign w:val="superscript"/>
        </w:rPr>
        <w:t>3</w:t>
      </w:r>
      <w:r w:rsidR="00975035" w:rsidRPr="00B57BAB">
        <w:t xml:space="preserve"> Docente do Departamento de Odontologia, UFJF-GV</w:t>
      </w:r>
    </w:p>
    <w:p w14:paraId="50B4BADC" w14:textId="77777777" w:rsidR="00FD29F0" w:rsidRDefault="00FD29F0">
      <w:pPr>
        <w:spacing w:line="360" w:lineRule="auto"/>
        <w:jc w:val="center"/>
      </w:pPr>
    </w:p>
    <w:p w14:paraId="6881AFD2" w14:textId="710A8B5A" w:rsidR="00093E1E" w:rsidRDefault="00975035" w:rsidP="006F2982">
      <w:pPr>
        <w:spacing w:line="360" w:lineRule="auto"/>
      </w:pPr>
      <w:r>
        <w:rPr>
          <w:b/>
          <w:bCs/>
        </w:rPr>
        <w:t>Eixo Temático:</w:t>
      </w:r>
      <w:r>
        <w:t xml:space="preserve"> Saúde</w:t>
      </w:r>
    </w:p>
    <w:p w14:paraId="3C90EBA4" w14:textId="77777777" w:rsidR="00FD29F0" w:rsidRDefault="00FD29F0" w:rsidP="006F2982">
      <w:pPr>
        <w:spacing w:line="360" w:lineRule="auto"/>
      </w:pPr>
    </w:p>
    <w:p w14:paraId="4882E5DF" w14:textId="30806980" w:rsidR="006F2982" w:rsidRDefault="006F2982" w:rsidP="006F2982">
      <w:pPr>
        <w:spacing w:line="360" w:lineRule="auto"/>
        <w:jc w:val="both"/>
      </w:pPr>
      <w:r w:rsidRPr="006F2982">
        <w:rPr>
          <w:b/>
          <w:bCs/>
        </w:rPr>
        <w:t xml:space="preserve">Resumo: </w:t>
      </w:r>
      <w:r w:rsidRPr="006F2982">
        <w:t>As Disfunções Temporomandibulares (</w:t>
      </w:r>
      <w:proofErr w:type="spellStart"/>
      <w:r w:rsidRPr="006F2982">
        <w:t>DTMs</w:t>
      </w:r>
      <w:proofErr w:type="spellEnd"/>
      <w:r w:rsidRPr="006F2982">
        <w:t>) são condições musculoesqueléticas que afetam as articulações temporomandibulares, os músculos mastigatórios e as estruturas associadas</w:t>
      </w:r>
      <w:r>
        <w:t>, sendo uma das</w:t>
      </w:r>
      <w:r w:rsidRPr="006F2982">
        <w:t xml:space="preserve"> princip</w:t>
      </w:r>
      <w:r>
        <w:t>ais</w:t>
      </w:r>
      <w:r w:rsidRPr="006F2982">
        <w:t xml:space="preserve"> causa</w:t>
      </w:r>
      <w:r>
        <w:t>s</w:t>
      </w:r>
      <w:r w:rsidRPr="006F2982">
        <w:t xml:space="preserve"> de dor orofacial de origem não </w:t>
      </w:r>
      <w:r>
        <w:t>dentária, aparecendo</w:t>
      </w:r>
      <w:r w:rsidRPr="006F2982">
        <w:t xml:space="preserve"> frequentemente</w:t>
      </w:r>
      <w:r>
        <w:t xml:space="preserve"> </w:t>
      </w:r>
      <w:r w:rsidRPr="006F2982">
        <w:t>associadas ao bruxismo.</w:t>
      </w:r>
      <w:r w:rsidR="00FD29F0">
        <w:t xml:space="preserve"> A alta prevalência dessas duas condições geram um expressiva demanda por atendimentos especializados.</w:t>
      </w:r>
      <w:r w:rsidRPr="006F2982">
        <w:t xml:space="preserve"> </w:t>
      </w:r>
      <w:r>
        <w:t xml:space="preserve">Tendo isto em vista, o </w:t>
      </w:r>
      <w:r w:rsidRPr="006F2982">
        <w:t xml:space="preserve">projeto de extensão “Aliviando Dores Orofaciais: </w:t>
      </w:r>
      <w:proofErr w:type="spellStart"/>
      <w:r w:rsidRPr="006F2982">
        <w:t>DTMs</w:t>
      </w:r>
      <w:proofErr w:type="spellEnd"/>
      <w:r w:rsidRPr="006F2982">
        <w:t xml:space="preserve"> e Bruxismo”, </w:t>
      </w:r>
      <w:r>
        <w:t>criado e executado pelo</w:t>
      </w:r>
      <w:r w:rsidRPr="006F2982">
        <w:t xml:space="preserve"> Departamento de Odontologia da </w:t>
      </w:r>
      <w:r>
        <w:t>Universidade Federal de Juiz de Fora, campus Governador Valadares (</w:t>
      </w:r>
      <w:r w:rsidRPr="006F2982">
        <w:t>UFJF-GV</w:t>
      </w:r>
      <w:r>
        <w:t>)</w:t>
      </w:r>
      <w:r w:rsidRPr="006F2982">
        <w:t xml:space="preserve">, </w:t>
      </w:r>
      <w:r>
        <w:t xml:space="preserve">atende a essa população, </w:t>
      </w:r>
      <w:r w:rsidRPr="006F2982">
        <w:t>oferece</w:t>
      </w:r>
      <w:r>
        <w:t>ndo</w:t>
      </w:r>
      <w:r w:rsidRPr="006F2982">
        <w:t xml:space="preserve"> aconselhamento e atendimento</w:t>
      </w:r>
      <w:r>
        <w:t>s</w:t>
      </w:r>
      <w:r w:rsidRPr="006F2982">
        <w:t xml:space="preserve"> clínico</w:t>
      </w:r>
      <w:r>
        <w:t>s</w:t>
      </w:r>
      <w:r w:rsidRPr="006F2982">
        <w:t xml:space="preserve"> gratuitos</w:t>
      </w:r>
      <w:r>
        <w:t xml:space="preserve"> desde 2021</w:t>
      </w:r>
      <w:r w:rsidRPr="006F2982">
        <w:t xml:space="preserve">. Este </w:t>
      </w:r>
      <w:r>
        <w:t xml:space="preserve">presente </w:t>
      </w:r>
      <w:r w:rsidRPr="006F2982">
        <w:t xml:space="preserve">trabalho relata a experiência de discentes extensionistas </w:t>
      </w:r>
      <w:r>
        <w:t>deste</w:t>
      </w:r>
      <w:r w:rsidRPr="006F2982">
        <w:t xml:space="preserve"> projeto </w:t>
      </w:r>
      <w:r>
        <w:t>de</w:t>
      </w:r>
      <w:r w:rsidRPr="006F2982">
        <w:t xml:space="preserve"> 2025 </w:t>
      </w:r>
      <w:r>
        <w:t>a</w:t>
      </w:r>
      <w:r w:rsidRPr="006F2982">
        <w:t xml:space="preserve"> 2026. </w:t>
      </w:r>
      <w:r>
        <w:t>Nesse período, o</w:t>
      </w:r>
      <w:r w:rsidRPr="006F2982">
        <w:t xml:space="preserve">s pacientes encaminhados pelas </w:t>
      </w:r>
      <w:r>
        <w:t xml:space="preserve">próprias </w:t>
      </w:r>
      <w:r w:rsidRPr="006F2982">
        <w:t xml:space="preserve">clínicas da Universidade </w:t>
      </w:r>
      <w:r>
        <w:t>ou</w:t>
      </w:r>
      <w:r w:rsidRPr="006F2982">
        <w:t xml:space="preserve"> por serviços de saúde da região, foram avaliados </w:t>
      </w:r>
      <w:r>
        <w:t>clinicamente através de</w:t>
      </w:r>
      <w:r w:rsidRPr="006F2982">
        <w:t xml:space="preserve"> anamnese detalhada</w:t>
      </w:r>
      <w:r>
        <w:t>,</w:t>
      </w:r>
      <w:r w:rsidRPr="006F2982">
        <w:t xml:space="preserve"> </w:t>
      </w:r>
      <w:r w:rsidR="00FD29F0">
        <w:t>aplicação do</w:t>
      </w:r>
      <w:r w:rsidRPr="006F2982">
        <w:t xml:space="preserve"> Critério Diagnóstico para as </w:t>
      </w:r>
      <w:proofErr w:type="spellStart"/>
      <w:r w:rsidRPr="006F2982">
        <w:t>DTMs</w:t>
      </w:r>
      <w:proofErr w:type="spellEnd"/>
      <w:r w:rsidRPr="006F2982">
        <w:t xml:space="preserve"> (DC/TMD)</w:t>
      </w:r>
      <w:r>
        <w:t xml:space="preserve"> e. quando necessário, por exames de imagem, para, dessa forma, obter seu correto diagnóstico</w:t>
      </w:r>
      <w:r w:rsidRPr="006F2982">
        <w:t xml:space="preserve">. Em seguida, receberam planos de tratamento </w:t>
      </w:r>
      <w:r>
        <w:t>individualizados e preferencialmente</w:t>
      </w:r>
      <w:r w:rsidRPr="006F2982">
        <w:t xml:space="preserve"> conservadores, que incluí</w:t>
      </w:r>
      <w:r>
        <w:t xml:space="preserve">am </w:t>
      </w:r>
      <w:r w:rsidRPr="006F2982">
        <w:t xml:space="preserve">aconselhamento sobre hábitos parafuncionais e bruxismo, autocuidado, </w:t>
      </w:r>
      <w:proofErr w:type="spellStart"/>
      <w:r w:rsidRPr="006F2982">
        <w:t>agulhamento</w:t>
      </w:r>
      <w:proofErr w:type="spellEnd"/>
      <w:r w:rsidRPr="006F2982">
        <w:t xml:space="preserve"> seco, placas estabilizadoras e, quando indicada, </w:t>
      </w:r>
      <w:r w:rsidRPr="006F2982">
        <w:lastRenderedPageBreak/>
        <w:t xml:space="preserve">terapia farmacológica. Paralelamente, foram realizadas ações de educação em saúde pelas redes sociais. </w:t>
      </w:r>
      <w:r>
        <w:t xml:space="preserve">Com isso, </w:t>
      </w:r>
      <w:r w:rsidR="00FD29F0">
        <w:t>grande parte dos</w:t>
      </w:r>
      <w:r w:rsidRPr="006F2982">
        <w:t xml:space="preserve"> pacientes relataram redução da dor e melhora na qualidade de vida. Para os discentes, a experiência fortaleceu o raciocínio clínico, a comunicação com o paciente e a integração entre ensino, pesquisa e extensão, contribuindo para uma formação humanizada e baseada em evidências.</w:t>
      </w:r>
    </w:p>
    <w:p w14:paraId="495C3282" w14:textId="77777777" w:rsidR="00FD29F0" w:rsidRPr="006F2982" w:rsidRDefault="00FD29F0" w:rsidP="006F2982">
      <w:pPr>
        <w:spacing w:line="360" w:lineRule="auto"/>
        <w:jc w:val="both"/>
      </w:pPr>
    </w:p>
    <w:p w14:paraId="5243074B" w14:textId="5B7B5DCE" w:rsidR="00093E1E" w:rsidRDefault="00975035" w:rsidP="006F2982">
      <w:pPr>
        <w:spacing w:line="360" w:lineRule="auto"/>
      </w:pPr>
      <w:r>
        <w:rPr>
          <w:b/>
          <w:bCs/>
        </w:rPr>
        <w:t>Palavras-chave:</w:t>
      </w:r>
      <w:r>
        <w:t xml:space="preserve"> Disfunção Temporomandibular; Bruxismo; Dor Orofacial; Extensão Universitária.</w:t>
      </w:r>
    </w:p>
    <w:p w14:paraId="26CA8460" w14:textId="10BC9132" w:rsidR="00B55715" w:rsidRDefault="00B55715">
      <w:pPr>
        <w:spacing w:line="360" w:lineRule="auto"/>
      </w:pPr>
    </w:p>
    <w:p w14:paraId="2D1AD833" w14:textId="77777777" w:rsidR="00B34F51" w:rsidRDefault="00B34F51">
      <w:pPr>
        <w:spacing w:line="360" w:lineRule="auto"/>
      </w:pPr>
    </w:p>
    <w:p w14:paraId="707BB9AF" w14:textId="6373E529" w:rsidR="00093E1E" w:rsidRPr="0062349D" w:rsidRDefault="00975035" w:rsidP="0062349D">
      <w:pPr>
        <w:pStyle w:val="PargrafodaLista"/>
        <w:numPr>
          <w:ilvl w:val="0"/>
          <w:numId w:val="2"/>
        </w:numPr>
        <w:spacing w:line="360" w:lineRule="auto"/>
        <w:rPr>
          <w:b/>
          <w:bCs/>
        </w:rPr>
      </w:pPr>
      <w:r w:rsidRPr="0062349D">
        <w:rPr>
          <w:b/>
          <w:bCs/>
        </w:rPr>
        <w:t>INTRODUÇÃO</w:t>
      </w:r>
    </w:p>
    <w:p w14:paraId="6F8AFAC4" w14:textId="77777777" w:rsidR="00B55715" w:rsidRDefault="00B55715" w:rsidP="0062349D">
      <w:pPr>
        <w:spacing w:line="360" w:lineRule="auto"/>
      </w:pPr>
    </w:p>
    <w:p w14:paraId="558F6EED" w14:textId="4CB7A611" w:rsidR="00093E1E" w:rsidRDefault="00975035">
      <w:pPr>
        <w:spacing w:line="360" w:lineRule="auto"/>
        <w:ind w:firstLine="720"/>
        <w:jc w:val="both"/>
      </w:pPr>
      <w:r>
        <w:t>A</w:t>
      </w:r>
      <w:r w:rsidR="003477AC">
        <w:t>s</w:t>
      </w:r>
      <w:r>
        <w:t xml:space="preserve"> Disfunç</w:t>
      </w:r>
      <w:r w:rsidR="003477AC">
        <w:t>ões</w:t>
      </w:r>
      <w:r>
        <w:t xml:space="preserve"> Temporomandibular</w:t>
      </w:r>
      <w:r w:rsidR="003477AC">
        <w:t>es</w:t>
      </w:r>
      <w:r>
        <w:t xml:space="preserve"> (</w:t>
      </w:r>
      <w:proofErr w:type="spellStart"/>
      <w:r>
        <w:t>DTM</w:t>
      </w:r>
      <w:r w:rsidR="003477AC">
        <w:t>s</w:t>
      </w:r>
      <w:proofErr w:type="spellEnd"/>
      <w:r>
        <w:t xml:space="preserve">) </w:t>
      </w:r>
      <w:r w:rsidR="003477AC">
        <w:t>compõem</w:t>
      </w:r>
      <w:r>
        <w:t xml:space="preserve"> um grupo heterogêneo de condições musculoesqueléticas que afetam as articulações temporomandibulares (ATMs), os músculos mastigatórios e as estruturas associadas (KANDASAMY e GREENE, 2020; KAPOS et al., 2020). </w:t>
      </w:r>
      <w:r w:rsidR="003477AC">
        <w:t xml:space="preserve">Elas são </w:t>
      </w:r>
      <w:r>
        <w:t>a segunda desordem musculoesquelética crônica mais comum no corpo humano e a principal causa de dor orofacial de origem não odontogênica (SCHIFFMAN et al., 2014; YAO et al., 2023)</w:t>
      </w:r>
      <w:r w:rsidR="00B57BAB">
        <w:t>.</w:t>
      </w:r>
      <w:r>
        <w:t xml:space="preserve"> Entre </w:t>
      </w:r>
      <w:r w:rsidR="003477AC">
        <w:t>seus</w:t>
      </w:r>
      <w:r>
        <w:t xml:space="preserve"> sinais e sintomas mais frequentes estão dor na face, na região </w:t>
      </w:r>
      <w:proofErr w:type="spellStart"/>
      <w:r>
        <w:t>pré</w:t>
      </w:r>
      <w:proofErr w:type="spellEnd"/>
      <w:r>
        <w:t>-auricular, na área temporal</w:t>
      </w:r>
      <w:r w:rsidR="003477AC">
        <w:t>,</w:t>
      </w:r>
      <w:r>
        <w:t xml:space="preserve"> nos músculos da mastigação, limitação ou desvios na abertura bucal, ruídos articulares, como estalidos e crepitação, e alterações oclusais súbitas (OKESON e DE LEEUW, 2011; SCHIFFMAN et al., 2014).</w:t>
      </w:r>
    </w:p>
    <w:p w14:paraId="7A9F59C7" w14:textId="77777777" w:rsidR="00093E1E" w:rsidRDefault="00975035">
      <w:pPr>
        <w:spacing w:line="360" w:lineRule="auto"/>
        <w:ind w:firstLine="720"/>
        <w:jc w:val="both"/>
      </w:pPr>
      <w:r>
        <w:t>A compreensão da etiologia da DTM evoluiu de conceitos puramente mecânicos e dentais para um modelo biopsicossocial multifatorial (KANDASAMY e GREENE, 2020). Nessa perspectiva, a ocorrência, a manutenção e a severidade da condição resultam da interação entre fatores genéticos, neurofisiológicos e ambientais e variáveis psicológicas, como ansiedade, depressão, somatização e catastrofização da dor, somadas à presença de comorbidades dolorosas e a estados de amplificação central da dor (SLADE et al., 2016; KAPOS et al., 2020; YAO et al., 2023).</w:t>
      </w:r>
    </w:p>
    <w:p w14:paraId="4E4425C5" w14:textId="3C6AC0E7" w:rsidR="00093E1E" w:rsidRDefault="00975035">
      <w:pPr>
        <w:spacing w:line="360" w:lineRule="auto"/>
        <w:ind w:firstLine="720"/>
        <w:jc w:val="both"/>
      </w:pPr>
      <w:r>
        <w:t>Frequentemente associado às DTMs, o bruxismo deixou de ser considerado uma desordem em si e passou a ser compreendido como uma atividade dos músculos mastigatórios que, a depender do contexto clínico, pode ser inócua, atuar como fator de risco ou até exercer papel protetor (LOBBEZOO et al., 2018; MANFREDINI et al., 2024; VERHOEFF et al., 2025). Essa atividade pode ocorrer durante o sono</w:t>
      </w:r>
      <w:r w:rsidR="003477AC">
        <w:t xml:space="preserve"> (bruxismo do sono – BS)</w:t>
      </w:r>
      <w:r>
        <w:t xml:space="preserve">, de forma rítmica ou não rítmica e associada a microdespertares, ou durante a vigília, por meio do apertamento ou do ranger dos dentes, ou ainda do tensionamento da mandíbula sem contato dentário (MINAKUCHI et al., 2022; BRACCI et al., 2022; VERHOEFF et al., 2025). </w:t>
      </w:r>
      <w:r w:rsidR="003477AC">
        <w:t xml:space="preserve">Já em </w:t>
      </w:r>
      <w:r>
        <w:t>vigília</w:t>
      </w:r>
      <w:r w:rsidR="003477AC">
        <w:t xml:space="preserve"> (bruxismo da vigília – BV)</w:t>
      </w:r>
      <w:r>
        <w:t xml:space="preserve">, </w:t>
      </w:r>
      <w:r w:rsidR="003477AC">
        <w:t xml:space="preserve">ele pode estar sendo </w:t>
      </w:r>
      <w:r>
        <w:t>fortemente influenciado pelo estresse e pela ansiedade, destaca</w:t>
      </w:r>
      <w:r w:rsidR="003477AC">
        <w:t>ndo</w:t>
      </w:r>
      <w:r>
        <w:t>-se como um dos principais fatores de risco e de perpetuação da dor muscular mastigatória (OHRBACH et al., 2011; BRACCI et al., 2022</w:t>
      </w:r>
      <w:r w:rsidR="003477AC">
        <w:t>; VERHOEFF et al., 2025</w:t>
      </w:r>
      <w:r>
        <w:t>).</w:t>
      </w:r>
    </w:p>
    <w:p w14:paraId="2769E7C9" w14:textId="4049E3CB" w:rsidR="00093E1E" w:rsidRDefault="00975035">
      <w:pPr>
        <w:spacing w:line="360" w:lineRule="auto"/>
        <w:ind w:firstLine="720"/>
        <w:jc w:val="both"/>
      </w:pPr>
      <w:r>
        <w:t>Diante desse cenário</w:t>
      </w:r>
      <w:r w:rsidR="00B55715">
        <w:t>,</w:t>
      </w:r>
      <w:r>
        <w:t xml:space="preserve"> o diagnóstico deve ser rigoroso e multidimensional. Para as </w:t>
      </w:r>
      <w:proofErr w:type="spellStart"/>
      <w:r>
        <w:t>DTMs</w:t>
      </w:r>
      <w:proofErr w:type="spellEnd"/>
      <w:r>
        <w:t xml:space="preserve">, o </w:t>
      </w:r>
      <w:r w:rsidR="00B55715">
        <w:t>qu</w:t>
      </w:r>
      <w:r w:rsidR="0062349D">
        <w:t>e</w:t>
      </w:r>
      <w:r w:rsidR="00B55715">
        <w:t xml:space="preserve">stionário </w:t>
      </w:r>
      <w:r>
        <w:t xml:space="preserve">de referência é o </w:t>
      </w:r>
      <w:r w:rsidR="00B55715">
        <w:t xml:space="preserve">validado internacionalmente Critério Diagnóstico para as </w:t>
      </w:r>
      <w:proofErr w:type="spellStart"/>
      <w:r w:rsidR="00B55715">
        <w:t>DTMs</w:t>
      </w:r>
      <w:proofErr w:type="spellEnd"/>
      <w:r>
        <w:t xml:space="preserve"> (DC/TMD), que avalia as condições dolorosas </w:t>
      </w:r>
      <w:r w:rsidR="00B55715">
        <w:t xml:space="preserve">musculares </w:t>
      </w:r>
      <w:r>
        <w:t>e articulares (</w:t>
      </w:r>
      <w:r w:rsidR="00B55715">
        <w:t>e</w:t>
      </w:r>
      <w:r>
        <w:t>ixo I) e o perfil psicossocial do paciente (</w:t>
      </w:r>
      <w:r w:rsidR="00B55715">
        <w:t>e</w:t>
      </w:r>
      <w:r>
        <w:t>ixo II) (SCHIFFMAN et al., 2014)</w:t>
      </w:r>
      <w:r w:rsidR="00B55715">
        <w:t xml:space="preserve">. </w:t>
      </w:r>
      <w:r w:rsidR="0062349D" w:rsidRPr="0062349D">
        <w:t>Em relação ao bruxismo, sua identificação era realizada considerando a avaliação clínica e os relatos do próprio indivíduo, em consonância com o consenso internacional sobre o tema</w:t>
      </w:r>
      <w:r w:rsidR="0062349D">
        <w:t xml:space="preserve"> (</w:t>
      </w:r>
      <w:r w:rsidR="0062349D">
        <w:t>VERHOEFF et al., 2025)</w:t>
      </w:r>
      <w:r w:rsidR="0062349D" w:rsidRPr="0062349D">
        <w:t>, bem como a investigação de comportamentos relacionados por meio</w:t>
      </w:r>
      <w:r w:rsidR="0062349D">
        <w:t xml:space="preserve"> </w:t>
      </w:r>
      <w:r w:rsidR="0062349D" w:rsidRPr="0062349D">
        <w:t>do questionário de hábitos orais que compõe o eixo II do DC/TMD</w:t>
      </w:r>
      <w:r w:rsidR="006F2982">
        <w:t xml:space="preserve"> </w:t>
      </w:r>
      <w:r w:rsidR="006F2982">
        <w:t>(SCHIFFMAN et al., 2014)</w:t>
      </w:r>
      <w:r w:rsidR="0062349D" w:rsidRPr="0062349D">
        <w:t>.</w:t>
      </w:r>
      <w:r>
        <w:t xml:space="preserve"> Estabelecido o diagnóstico, a conduta </w:t>
      </w:r>
      <w:r w:rsidR="00B55715">
        <w:t xml:space="preserve">de controle dessas condições </w:t>
      </w:r>
      <w:r>
        <w:t>deve priorizar terapias conservadoras e reversíveis</w:t>
      </w:r>
      <w:r w:rsidR="00B55715">
        <w:t>, que já se provaram eficazes para maioria dos casos</w:t>
      </w:r>
      <w:r>
        <w:t>, como aconselhamento, autocuidado, controle dos hábitos parafuncionais, agulhamento seco e placas estabilizadoras, que apresentam boa eficácia no alívio da dor e na recuperação da função (KANDASAMY e GREENE, 2020; MINAKUCHI et al., 2022; YAO et al., 2023).</w:t>
      </w:r>
    </w:p>
    <w:p w14:paraId="24EDCF1B" w14:textId="43F3FC66" w:rsidR="00093E1E" w:rsidRDefault="00975035">
      <w:pPr>
        <w:spacing w:line="360" w:lineRule="auto"/>
        <w:ind w:firstLine="720"/>
        <w:jc w:val="both"/>
      </w:pPr>
      <w:r>
        <w:t>A complexidade dessas condições reforça a importância de ampliar o acesso da população à avaliação</w:t>
      </w:r>
      <w:r w:rsidR="00B55715">
        <w:t xml:space="preserve"> e</w:t>
      </w:r>
      <w:r>
        <w:t xml:space="preserve"> ao cuidado </w:t>
      </w:r>
      <w:r w:rsidR="00B55715">
        <w:t xml:space="preserve">conservador </w:t>
      </w:r>
      <w:r>
        <w:t>especializados. Nesse contexto, o projeto de extensão “Aliviando Dores Orofaciais: DTMs e Bruxismo”, vinculado ao Departamento de Odontologia da Universidade Federal de Juiz de Fora, campus Governador Valadares (UFJF-GV), tem como objetivo oferecer aconselhamento e atendimento clínico gratuitos à população com DTM e/ou bruxismo, articulando assistência, educação em saúde e formação acadêmica. Assim, o presente trabalho tem como objetivo relatar a experiência de discentes extensionistas no projeto durante os anos de 2025 e 2026.</w:t>
      </w:r>
    </w:p>
    <w:p w14:paraId="4EF68C5F" w14:textId="77777777" w:rsidR="0062349D" w:rsidRDefault="0062349D">
      <w:pPr>
        <w:spacing w:before="240" w:after="240" w:line="360" w:lineRule="auto"/>
        <w:rPr>
          <w:b/>
          <w:bCs/>
        </w:rPr>
      </w:pPr>
    </w:p>
    <w:p w14:paraId="522F046B" w14:textId="21825DB7" w:rsidR="00093E1E" w:rsidRDefault="00975035" w:rsidP="00B55715">
      <w:pPr>
        <w:spacing w:line="360" w:lineRule="auto"/>
        <w:rPr>
          <w:b/>
          <w:bCs/>
        </w:rPr>
      </w:pPr>
      <w:r>
        <w:rPr>
          <w:b/>
          <w:bCs/>
        </w:rPr>
        <w:t>2. DESENVOLVIMENTO</w:t>
      </w:r>
    </w:p>
    <w:p w14:paraId="2151F9BE" w14:textId="77777777" w:rsidR="00B55715" w:rsidRDefault="00B55715" w:rsidP="00E13FC6">
      <w:pPr>
        <w:spacing w:line="360" w:lineRule="auto"/>
      </w:pPr>
    </w:p>
    <w:p w14:paraId="70C94CE4" w14:textId="77777777" w:rsidR="00093E1E" w:rsidRDefault="00975035" w:rsidP="00E13FC6">
      <w:pPr>
        <w:spacing w:line="360" w:lineRule="auto"/>
      </w:pPr>
      <w:r>
        <w:rPr>
          <w:b/>
          <w:bCs/>
        </w:rPr>
        <w:t>2.1. Trajetória e organização do projeto</w:t>
      </w:r>
    </w:p>
    <w:p w14:paraId="7597C6BA" w14:textId="26F85324" w:rsidR="00093E1E" w:rsidRDefault="00975035">
      <w:pPr>
        <w:spacing w:line="360" w:lineRule="auto"/>
        <w:ind w:firstLine="720"/>
        <w:jc w:val="both"/>
      </w:pPr>
      <w:r>
        <w:t>O projeto teve início no primeiro semestre de 2021, período ainda marcado pelas restrições impostas pela pandemia de COVID-19</w:t>
      </w:r>
      <w:r w:rsidR="00B55715">
        <w:t xml:space="preserve"> (MIRANDA, BONATO e TESCH, 2021)</w:t>
      </w:r>
      <w:r>
        <w:t>. Para dar início às atividades e divulgar o projeto, a equipe produziu uma série de quatro vídeos educativos, com cerca de cinco minutos cada, destinados à orientação dos futuros pacientes e abordando as DTMs, o bruxismo do sono e da vigília, os hábitos parafuncionais e a higiene do sono. Os vídeos foram disponibilizados no canal do projeto no YouTube</w:t>
      </w:r>
      <w:r w:rsidR="00234BE4">
        <w:t xml:space="preserve"> (</w:t>
      </w:r>
      <w:r w:rsidR="00234BE4" w:rsidRPr="00234BE4">
        <w:t>@aliviandodoresorofaciais5542</w:t>
      </w:r>
      <w:r w:rsidR="00234BE4">
        <w:t>)</w:t>
      </w:r>
      <w:r>
        <w:t xml:space="preserve"> e no Instagram</w:t>
      </w:r>
      <w:r w:rsidR="00234BE4">
        <w:t xml:space="preserve"> (@</w:t>
      </w:r>
      <w:proofErr w:type="spellStart"/>
      <w:r w:rsidR="00234BE4">
        <w:t>aliviandodoresorofaciais</w:t>
      </w:r>
      <w:proofErr w:type="spellEnd"/>
      <w:r w:rsidR="00234BE4">
        <w:t>)</w:t>
      </w:r>
      <w:r w:rsidR="00E13FC6">
        <w:t xml:space="preserve"> (Figura 1)</w:t>
      </w:r>
      <w:r>
        <w:t>. No segundo semestre de 2021, com a retomada das atividades presenciais, tiveram início os atendimentos clínicos, realizados de forma contínua desde então.</w:t>
      </w:r>
    </w:p>
    <w:p w14:paraId="1F2E05E3" w14:textId="4C83DCA5" w:rsidR="00C65EEF" w:rsidRDefault="00975035" w:rsidP="00C65EEF">
      <w:pPr>
        <w:spacing w:line="360" w:lineRule="auto"/>
        <w:ind w:firstLine="720"/>
        <w:jc w:val="both"/>
      </w:pPr>
      <w:r>
        <w:t xml:space="preserve">Em 2025 e 2026, a equipe foi composta por </w:t>
      </w:r>
      <w:r w:rsidR="0025160E" w:rsidRPr="00E13FC6">
        <w:t>discentes</w:t>
      </w:r>
      <w:r w:rsidRPr="00E13FC6">
        <w:t xml:space="preserve"> voluntários da graduação em Odontologia</w:t>
      </w:r>
      <w:r w:rsidR="0025160E" w:rsidRPr="00E13FC6">
        <w:t xml:space="preserve"> (UFJF-GV)</w:t>
      </w:r>
      <w:r w:rsidRPr="00E13FC6">
        <w:t xml:space="preserve"> e </w:t>
      </w:r>
      <w:r w:rsidR="00E13FC6">
        <w:t>pós graduação</w:t>
      </w:r>
      <w:r w:rsidR="0025160E" w:rsidRPr="00E13FC6">
        <w:t xml:space="preserve"> </w:t>
      </w:r>
      <w:r w:rsidR="00E13FC6">
        <w:t>(</w:t>
      </w:r>
      <w:proofErr w:type="spellStart"/>
      <w:r w:rsidR="0025160E" w:rsidRPr="00E13FC6">
        <w:t>PP</w:t>
      </w:r>
      <w:r w:rsidR="00E13FC6">
        <w:t>g</w:t>
      </w:r>
      <w:r w:rsidR="0025160E" w:rsidRPr="00E13FC6">
        <w:t>CAS</w:t>
      </w:r>
      <w:proofErr w:type="spellEnd"/>
      <w:r w:rsidR="0025160E" w:rsidRPr="00E13FC6">
        <w:t xml:space="preserve"> UFJF-GV</w:t>
      </w:r>
      <w:r w:rsidR="00E13FC6">
        <w:t>)</w:t>
      </w:r>
      <w:r w:rsidRPr="00E13FC6">
        <w:t>, sob a orientação de docentes do Departamento de Odontologia</w:t>
      </w:r>
      <w:r w:rsidR="0025160E" w:rsidRPr="00E13FC6">
        <w:t xml:space="preserve"> UFJF-GV</w:t>
      </w:r>
      <w:r w:rsidRPr="00E13FC6">
        <w:t>.</w:t>
      </w:r>
      <w:r w:rsidRPr="00B55715">
        <w:t xml:space="preserve"> </w:t>
      </w:r>
      <w:r>
        <w:t>Os pacientes foram encaminhados pelas clínicas odontológicas da UFJF-GV, por outros setores da Universidade e por serviços públicos e privados de saúde de Governador Valadares e região. A identificação</w:t>
      </w:r>
      <w:r w:rsidR="00B55715">
        <w:t>, dentro da instituição,</w:t>
      </w:r>
      <w:r>
        <w:t xml:space="preserve"> ocorreu por meio da análise de prontuários, das triagens realizadas nas clínicas odontológicas, com o apoio dos técnicos administrativos em educação (TAEs), e dos encaminhamentos de profissionais de saúde. Os pacientes com necessidade de avaliação foram então convidados para o atendimento por telefone ou aplicativo de mensagens.</w:t>
      </w:r>
    </w:p>
    <w:p w14:paraId="6BA12E84" w14:textId="3DCB360F" w:rsidR="00B55715" w:rsidRDefault="00B55715">
      <w:pPr>
        <w:spacing w:line="360" w:lineRule="auto"/>
        <w:ind w:firstLine="720"/>
        <w:jc w:val="both"/>
      </w:pPr>
    </w:p>
    <w:p w14:paraId="4A982575" w14:textId="1D57A4AB" w:rsidR="005C5BF9" w:rsidRDefault="005F159B" w:rsidP="005C5BF9">
      <w:pPr>
        <w:spacing w:line="360" w:lineRule="auto"/>
      </w:pPr>
      <w:r>
        <w:t xml:space="preserve">Figura 1: Redes sociais </w:t>
      </w:r>
      <w:r w:rsidR="005C5BF9">
        <w:t xml:space="preserve">do projeto de extensão “Aliviando Dores Orofaciais: </w:t>
      </w:r>
      <w:proofErr w:type="spellStart"/>
      <w:r w:rsidR="005C5BF9">
        <w:t>DTMs</w:t>
      </w:r>
      <w:proofErr w:type="spellEnd"/>
      <w:r w:rsidR="005C5BF9">
        <w:t xml:space="preserve"> e Bruxismo”: </w:t>
      </w:r>
      <w:r>
        <w:t>Youtube</w:t>
      </w:r>
      <w:r w:rsidR="005C5BF9">
        <w:t xml:space="preserve"> (A)</w:t>
      </w:r>
      <w:r>
        <w:t xml:space="preserve"> e Instagram</w:t>
      </w:r>
      <w:r w:rsidR="005C5BF9">
        <w:t xml:space="preserve"> (B).</w:t>
      </w:r>
      <w:r w:rsidR="005C5BF9">
        <w:rPr>
          <w:noProof/>
        </w:rPr>
        <w:drawing>
          <wp:inline distT="0" distB="0" distL="0" distR="0" wp14:anchorId="4E9EC831" wp14:editId="79F32DFA">
            <wp:extent cx="6300866" cy="2419350"/>
            <wp:effectExtent l="0" t="0" r="508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539" cy="242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CF35B" w14:textId="275657CE" w:rsidR="00C65EEF" w:rsidRDefault="00C65EEF">
      <w:pPr>
        <w:spacing w:line="360" w:lineRule="auto"/>
        <w:ind w:firstLine="720"/>
        <w:jc w:val="both"/>
      </w:pPr>
    </w:p>
    <w:p w14:paraId="25D1F28A" w14:textId="164589E4" w:rsidR="00093E1E" w:rsidRDefault="00975035" w:rsidP="005C5BF9">
      <w:pPr>
        <w:spacing w:line="360" w:lineRule="auto"/>
      </w:pPr>
      <w:r>
        <w:rPr>
          <w:b/>
          <w:bCs/>
        </w:rPr>
        <w:t>2.2. Atendimento clínico</w:t>
      </w:r>
    </w:p>
    <w:p w14:paraId="025267B6" w14:textId="614F7823" w:rsidR="00093E1E" w:rsidRDefault="00975035">
      <w:pPr>
        <w:spacing w:line="360" w:lineRule="auto"/>
        <w:ind w:firstLine="720"/>
        <w:jc w:val="both"/>
      </w:pPr>
      <w:r>
        <w:t>O diagnóstico foi realizado por meio de anamnese detalhada e da aplicação do DC/TMD (SCHIFFMAN et al., 2014), o que permitiu uma avaliação sistematizada dos pacientes e orientou a definição das condutas terapêuticas. A partir dele, eram estabelecidos planos de tratamento individualizados, considerando as características clínicas, a sintomatologia e as necessidades de cada paciente. Entre as estratégias empregadas estiveram o aconselhamento sobre os hábitos parafuncionais, sobre o bruxismo do sono e da vigília, as orientações de autocuidado, as medidas comportamentais, o agulhamento seco, a confecção de placas estabilizadoras e, quando indicada, a terapia farmacológica</w:t>
      </w:r>
      <w:r w:rsidR="0062349D">
        <w:t xml:space="preserve"> (Figura 2)</w:t>
      </w:r>
      <w:r>
        <w:t>. Buscou-se, assim, não apenas controlar os sintomas, mas também conscientizar o paciente sobre os fatores comportamentais que podem manter ou agravar sua condição.</w:t>
      </w:r>
    </w:p>
    <w:p w14:paraId="2E6160D9" w14:textId="2BA5CAEB" w:rsidR="00093E1E" w:rsidRDefault="00975035">
      <w:pPr>
        <w:spacing w:line="360" w:lineRule="auto"/>
        <w:ind w:firstLine="720"/>
        <w:jc w:val="both"/>
      </w:pPr>
      <w:r>
        <w:t xml:space="preserve">Além das orientações verbais, os pacientes receberam uma lista impressa de aconselhamento e foram orientados a acessar os vídeos e demais conteúdos produzidos pela equipe, o que estimulou sua participação ativa no tratamento. </w:t>
      </w:r>
      <w:r w:rsidRPr="005C5BF9">
        <w:t>Desde o início do projeto, dezenas de pacientes foram atendidos</w:t>
      </w:r>
      <w:r>
        <w:t>, os quais têm relatado redução da dor e melhora na qualidade de vida. A demanda, devido à alta prevalência dessas condições na população, permanece elevada.</w:t>
      </w:r>
    </w:p>
    <w:p w14:paraId="47831B1C" w14:textId="77777777" w:rsidR="005C5BF9" w:rsidRDefault="005C5BF9">
      <w:pPr>
        <w:spacing w:line="360" w:lineRule="auto"/>
      </w:pPr>
    </w:p>
    <w:p w14:paraId="5B00DD0B" w14:textId="77777777" w:rsidR="00B34F51" w:rsidRDefault="00B34F51" w:rsidP="0062349D">
      <w:pPr>
        <w:spacing w:line="360" w:lineRule="auto"/>
        <w:jc w:val="both"/>
      </w:pPr>
    </w:p>
    <w:p w14:paraId="5A318529" w14:textId="79E4D65E" w:rsidR="005C5BF9" w:rsidRPr="005C5BF9" w:rsidRDefault="005F159B" w:rsidP="0062349D">
      <w:pPr>
        <w:spacing w:line="360" w:lineRule="auto"/>
        <w:jc w:val="both"/>
      </w:pPr>
      <w:r w:rsidRPr="005C5BF9">
        <w:t>Figura 2:</w:t>
      </w:r>
      <w:r>
        <w:t xml:space="preserve"> Atendimento</w:t>
      </w:r>
      <w:r w:rsidR="005C5BF9">
        <w:t>s</w:t>
      </w:r>
      <w:r>
        <w:t xml:space="preserve"> clínico</w:t>
      </w:r>
      <w:r w:rsidR="005C5BF9">
        <w:t>s realizados no projeto: a</w:t>
      </w:r>
      <w:r w:rsidR="005C5BF9">
        <w:t>plicação do DC/TMD</w:t>
      </w:r>
      <w:r w:rsidR="005C5BF9">
        <w:t xml:space="preserve"> (A)</w:t>
      </w:r>
      <w:r w:rsidR="005C5BF9">
        <w:t xml:space="preserve">; </w:t>
      </w:r>
      <w:r w:rsidR="005C5BF9">
        <w:t>t</w:t>
      </w:r>
      <w:r w:rsidR="005C5BF9">
        <w:t xml:space="preserve">erapia por meio de </w:t>
      </w:r>
      <w:proofErr w:type="spellStart"/>
      <w:r w:rsidR="005C5BF9">
        <w:t>aculhamento</w:t>
      </w:r>
      <w:proofErr w:type="spellEnd"/>
      <w:r w:rsidR="005C5BF9">
        <w:t xml:space="preserve"> a seco</w:t>
      </w:r>
      <w:r w:rsidR="005C5BF9">
        <w:t xml:space="preserve"> (B)</w:t>
      </w:r>
      <w:r w:rsidR="005C5BF9">
        <w:t xml:space="preserve">; </w:t>
      </w:r>
      <w:r w:rsidR="005C5BF9">
        <w:t>v</w:t>
      </w:r>
      <w:r w:rsidR="005C5BF9">
        <w:t xml:space="preserve">erificação de espessura da placa estabilizadora através do </w:t>
      </w:r>
      <w:proofErr w:type="spellStart"/>
      <w:r w:rsidR="005C5BF9">
        <w:t>especímetro</w:t>
      </w:r>
      <w:proofErr w:type="spellEnd"/>
      <w:r w:rsidR="005C5BF9">
        <w:t xml:space="preserve"> (C)</w:t>
      </w:r>
      <w:r w:rsidR="005C5BF9">
        <w:t xml:space="preserve">; </w:t>
      </w:r>
      <w:r w:rsidR="005C5BF9">
        <w:t>a</w:t>
      </w:r>
      <w:r w:rsidR="005C5BF9">
        <w:t>juste de placa estabilizadora</w:t>
      </w:r>
      <w:r w:rsidR="005C5BF9">
        <w:t xml:space="preserve"> (D)</w:t>
      </w:r>
      <w:r w:rsidR="005C5BF9">
        <w:t>.</w:t>
      </w:r>
    </w:p>
    <w:p w14:paraId="49BE891C" w14:textId="0226B98A" w:rsidR="005F159B" w:rsidRDefault="005C5BF9" w:rsidP="0062349D">
      <w:pPr>
        <w:spacing w:line="36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0551933" wp14:editId="73E85472">
            <wp:extent cx="3840448" cy="3924300"/>
            <wp:effectExtent l="0" t="0" r="825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117" cy="394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294BB" w14:textId="77777777" w:rsidR="00B34F51" w:rsidRDefault="00B34F51" w:rsidP="0062349D">
      <w:pPr>
        <w:spacing w:line="360" w:lineRule="auto"/>
        <w:rPr>
          <w:b/>
          <w:bCs/>
        </w:rPr>
      </w:pPr>
    </w:p>
    <w:p w14:paraId="42C3DCCE" w14:textId="77777777" w:rsidR="001C7B0F" w:rsidRDefault="001C7B0F" w:rsidP="001C7B0F">
      <w:pPr>
        <w:spacing w:line="360" w:lineRule="auto"/>
        <w:rPr>
          <w:b/>
          <w:bCs/>
        </w:rPr>
      </w:pPr>
      <w:r>
        <w:rPr>
          <w:b/>
          <w:bCs/>
        </w:rPr>
        <w:t xml:space="preserve">2.3. Educação em saúde </w:t>
      </w:r>
    </w:p>
    <w:p w14:paraId="503C0ACF" w14:textId="07513EC5" w:rsidR="001C7B0F" w:rsidRDefault="001C7B0F" w:rsidP="001C7B0F">
      <w:pPr>
        <w:spacing w:line="360" w:lineRule="auto"/>
        <w:ind w:firstLine="708"/>
        <w:jc w:val="both"/>
        <w:rPr>
          <w:b/>
          <w:bCs/>
        </w:rPr>
      </w:pPr>
      <w:bookmarkStart w:id="0" w:name="_GoBack"/>
      <w:bookmarkEnd w:id="0"/>
      <w:r>
        <w:t xml:space="preserve">Paralelamente aos atendimentos, o projeto manteve ações de educação em saúde e de divulgação científica por meio do Instagram, com a produção e o compartilhamento de </w:t>
      </w:r>
      <w:r>
        <w:t>conteúdo</w:t>
      </w:r>
      <w:r>
        <w:t xml:space="preserve"> sobre saúde orofacial, </w:t>
      </w:r>
      <w:proofErr w:type="spellStart"/>
      <w:r>
        <w:t>DTMs</w:t>
      </w:r>
      <w:proofErr w:type="spellEnd"/>
      <w:r>
        <w:t>, bruxismo e dor orofacial. As redes sociais ampliaram o alcance das informações produzidas na Universidade e aproximaram a equipe dos pacientes e da comunidade.</w:t>
      </w:r>
    </w:p>
    <w:p w14:paraId="461F887C" w14:textId="77777777" w:rsidR="001C7B0F" w:rsidRDefault="001C7B0F" w:rsidP="0062349D">
      <w:pPr>
        <w:spacing w:line="360" w:lineRule="auto"/>
        <w:rPr>
          <w:b/>
          <w:bCs/>
        </w:rPr>
      </w:pPr>
    </w:p>
    <w:p w14:paraId="7CF4711D" w14:textId="2A778469" w:rsidR="00E02C2D" w:rsidRDefault="00E02C2D" w:rsidP="0062349D">
      <w:pPr>
        <w:spacing w:line="360" w:lineRule="auto"/>
      </w:pPr>
      <w:r>
        <w:rPr>
          <w:b/>
          <w:bCs/>
        </w:rPr>
        <w:t xml:space="preserve">2.4. Desafios </w:t>
      </w:r>
      <w:r w:rsidR="001C012B">
        <w:rPr>
          <w:b/>
          <w:bCs/>
        </w:rPr>
        <w:t>e limitações</w:t>
      </w:r>
    </w:p>
    <w:p w14:paraId="1645BA5D" w14:textId="0E4E471D" w:rsidR="007D5819" w:rsidRDefault="001C012B" w:rsidP="007D5819">
      <w:pPr>
        <w:spacing w:line="360" w:lineRule="auto"/>
        <w:ind w:firstLine="720"/>
        <w:jc w:val="both"/>
      </w:pPr>
      <w:r>
        <w:t xml:space="preserve">A </w:t>
      </w:r>
      <w:proofErr w:type="spellStart"/>
      <w:r>
        <w:t>execusão</w:t>
      </w:r>
      <w:proofErr w:type="spellEnd"/>
      <w:r>
        <w:t xml:space="preserve"> do projeto</w:t>
      </w:r>
      <w:r w:rsidR="00975035">
        <w:t xml:space="preserve"> também</w:t>
      </w:r>
      <w:r>
        <w:t xml:space="preserve"> trouxe alguns desafios e limitações para os alunos. Dentre elas, sita-se a autorresponsabilidade do paciente frente ao tratamento, sendo que, cabe ao paciente parmanecer em dia com as consultas de retorno e </w:t>
      </w:r>
      <w:r w:rsidR="007D5819">
        <w:t xml:space="preserve">aderir as mudanças e hábitos necessários para a manutenção do seu estado de saúde e bem estar. Ademais, mesmo que o projeto tenha um vasto alcance, a quantidade de pacientes </w:t>
      </w:r>
      <w:r w:rsidR="00975035">
        <w:t xml:space="preserve">atendidos ainda é bem menor a prevalência das DTMs e bruxismo na população, </w:t>
      </w:r>
      <w:r w:rsidR="007D5819">
        <w:t>o que reforça a necessidade de continuidade e de ampliação das atividades do projeto nos próximos anos.</w:t>
      </w:r>
    </w:p>
    <w:p w14:paraId="233828B1" w14:textId="18E3AEB9" w:rsidR="00093E1E" w:rsidRDefault="00093E1E">
      <w:pPr>
        <w:spacing w:line="360" w:lineRule="auto"/>
        <w:ind w:firstLine="720"/>
        <w:jc w:val="both"/>
      </w:pPr>
    </w:p>
    <w:p w14:paraId="3C7DC0BA" w14:textId="33857FAD" w:rsidR="00093E1E" w:rsidRDefault="00975035" w:rsidP="0062349D">
      <w:pPr>
        <w:spacing w:line="360" w:lineRule="auto"/>
      </w:pPr>
      <w:r>
        <w:rPr>
          <w:b/>
          <w:bCs/>
        </w:rPr>
        <w:t>2.</w:t>
      </w:r>
      <w:r w:rsidR="00E02C2D">
        <w:rPr>
          <w:b/>
          <w:bCs/>
        </w:rPr>
        <w:t>5</w:t>
      </w:r>
      <w:r>
        <w:rPr>
          <w:b/>
          <w:bCs/>
        </w:rPr>
        <w:t>. Contribuições para a formação discente</w:t>
      </w:r>
    </w:p>
    <w:p w14:paraId="3F5782C7" w14:textId="7A5F97CC" w:rsidR="00093E1E" w:rsidRDefault="00975035">
      <w:pPr>
        <w:spacing w:line="360" w:lineRule="auto"/>
        <w:ind w:firstLine="720"/>
        <w:jc w:val="both"/>
      </w:pPr>
      <w:r>
        <w:t>A participação no projeto permitiu aos discentes acompanhar</w:t>
      </w:r>
      <w:r w:rsidR="007703B9">
        <w:t>em</w:t>
      </w:r>
      <w:r>
        <w:t xml:space="preserve"> todas as etapas do cuidado, desde o acolhimento e a anamnese até a aplicação do DC/TMD, a discussão dos casos e o acompanhamento das condutas terapêuticas. O contato direto com pacientes com diferentes </w:t>
      </w:r>
      <w:r w:rsidR="007D5819">
        <w:t>diagnósticos</w:t>
      </w:r>
      <w:r>
        <w:t xml:space="preserve"> de DTM e bruxismo pode contribuir para o desenvolvimento do raciocínio clínico e estabelecimento de uma boa comunicação com o paciente, bem como para a compreensão dessas condições sob uma perspectiva integral e biopsicossocial.</w:t>
      </w:r>
    </w:p>
    <w:p w14:paraId="110B08AC" w14:textId="404F6585" w:rsidR="007D5819" w:rsidRDefault="00975035" w:rsidP="00E02C2D">
      <w:pPr>
        <w:spacing w:line="360" w:lineRule="auto"/>
        <w:ind w:firstLine="720"/>
        <w:jc w:val="both"/>
      </w:pPr>
      <w:r>
        <w:t>A vivência também evidencia a importância de utilizar protocolos diagnósticos padronizados, de avaliar cada paciente de forma individualizada e de adotar condutas fundamentadas em evidências científicas, aproximando o conhecimento teórico da realidade clínica e das necessidades da comunidade.</w:t>
      </w:r>
      <w:r w:rsidR="007703B9">
        <w:t xml:space="preserve">  </w:t>
      </w:r>
    </w:p>
    <w:p w14:paraId="6F2FF1AD" w14:textId="74A0912A" w:rsidR="007703B9" w:rsidRDefault="007D5819" w:rsidP="005867D6">
      <w:pPr>
        <w:spacing w:line="360" w:lineRule="auto"/>
        <w:ind w:firstLine="720"/>
        <w:jc w:val="both"/>
      </w:pPr>
      <w:r>
        <w:t xml:space="preserve">Para os discentes, a experiência fortalece a integração entre ensino, pesquisa e extensão e contribuiu para uma formação profissional humanizada, crítica e baseada em evidências. </w:t>
      </w:r>
      <w:r w:rsidR="007703B9">
        <w:t xml:space="preserve">Além disso, o projeto </w:t>
      </w:r>
      <w:r w:rsidR="00975035">
        <w:t>é capaz de estimular</w:t>
      </w:r>
      <w:r w:rsidR="007703B9">
        <w:t xml:space="preserve"> </w:t>
      </w:r>
      <w:proofErr w:type="spellStart"/>
      <w:r w:rsidR="007703B9">
        <w:t>pensamento</w:t>
      </w:r>
      <w:r w:rsidR="00975035">
        <w:t>ss</w:t>
      </w:r>
      <w:proofErr w:type="spellEnd"/>
      <w:r w:rsidR="007703B9">
        <w:t xml:space="preserve"> crítico, sendo ponto de partida para discussões de casos e atividades de pesquisa, trabalhos de conclusão de curso</w:t>
      </w:r>
      <w:r w:rsidR="00975035">
        <w:t xml:space="preserve"> e</w:t>
      </w:r>
      <w:r w:rsidR="007703B9">
        <w:t xml:space="preserve"> publicações científicas. </w:t>
      </w:r>
    </w:p>
    <w:p w14:paraId="1B40D2A7" w14:textId="420BCE78" w:rsidR="00093E1E" w:rsidRDefault="00093E1E" w:rsidP="00975035">
      <w:pPr>
        <w:spacing w:line="360" w:lineRule="auto"/>
        <w:ind w:firstLine="720"/>
        <w:jc w:val="both"/>
      </w:pPr>
    </w:p>
    <w:p w14:paraId="45A7D680" w14:textId="77777777" w:rsidR="00975035" w:rsidRDefault="00975035">
      <w:pPr>
        <w:spacing w:line="360" w:lineRule="auto"/>
        <w:ind w:firstLine="720"/>
        <w:jc w:val="both"/>
      </w:pPr>
    </w:p>
    <w:p w14:paraId="20DE19A6" w14:textId="52DCC98F" w:rsidR="00093E1E" w:rsidRDefault="00975035" w:rsidP="00975035">
      <w:pPr>
        <w:spacing w:line="360" w:lineRule="auto"/>
        <w:rPr>
          <w:b/>
          <w:bCs/>
        </w:rPr>
      </w:pPr>
      <w:r>
        <w:rPr>
          <w:b/>
          <w:bCs/>
        </w:rPr>
        <w:t>3. CONSIDERAÇÕES FINAIS</w:t>
      </w:r>
    </w:p>
    <w:p w14:paraId="7B2D63B7" w14:textId="77777777" w:rsidR="00975035" w:rsidRDefault="00975035" w:rsidP="0062349D">
      <w:pPr>
        <w:spacing w:line="360" w:lineRule="auto"/>
      </w:pPr>
    </w:p>
    <w:p w14:paraId="038ACC00" w14:textId="58EAE851" w:rsidR="00093E1E" w:rsidRDefault="00975035" w:rsidP="00975035">
      <w:pPr>
        <w:spacing w:line="360" w:lineRule="auto"/>
        <w:ind w:firstLine="720"/>
        <w:jc w:val="both"/>
      </w:pPr>
      <w:r>
        <w:t>Ao longo de sua trajetória, o projeto “Aliviando Dores Orofaciais: DTMs e Bruxismo” consolidou-se como uma ação de extensão relevante da UFJF-GV e como referência no atendimento gratuito a pacientes com DTM e bruxismo em Governador Valadares e região. As atividades desenvolvidas em 2025 e 2026 reafirmam o caráter extensionista do projeto, ao aplicar o conhecimento produzido na Universidade em ações concretas de promoção, prevenção e cuidado em saúde.</w:t>
      </w:r>
    </w:p>
    <w:p w14:paraId="46DF4B42" w14:textId="7F570906" w:rsidR="00975035" w:rsidRDefault="00975035" w:rsidP="00975035">
      <w:pPr>
        <w:spacing w:line="360" w:lineRule="auto"/>
        <w:ind w:firstLine="720"/>
        <w:jc w:val="both"/>
      </w:pPr>
    </w:p>
    <w:p w14:paraId="49023A84" w14:textId="77777777" w:rsidR="00975035" w:rsidRDefault="00975035">
      <w:pPr>
        <w:spacing w:line="360" w:lineRule="auto"/>
        <w:ind w:firstLine="720"/>
        <w:jc w:val="both"/>
      </w:pPr>
    </w:p>
    <w:p w14:paraId="46CD2284" w14:textId="758BC639" w:rsidR="00093E1E" w:rsidRDefault="00975035" w:rsidP="00975035">
      <w:pPr>
        <w:spacing w:line="360" w:lineRule="auto"/>
        <w:rPr>
          <w:b/>
          <w:bCs/>
        </w:rPr>
      </w:pPr>
      <w:r>
        <w:rPr>
          <w:b/>
          <w:bCs/>
        </w:rPr>
        <w:t>REFERÊNCIAS</w:t>
      </w:r>
    </w:p>
    <w:p w14:paraId="0E40649B" w14:textId="77777777" w:rsidR="00975035" w:rsidRDefault="00975035" w:rsidP="0062349D">
      <w:pPr>
        <w:spacing w:line="360" w:lineRule="auto"/>
      </w:pPr>
    </w:p>
    <w:p w14:paraId="46B206E2" w14:textId="77777777" w:rsidR="00093E1E" w:rsidRPr="00B57BAB" w:rsidRDefault="00975035" w:rsidP="0062349D">
      <w:pPr>
        <w:spacing w:line="360" w:lineRule="auto"/>
        <w:rPr>
          <w:lang w:val="en-US"/>
        </w:rPr>
      </w:pPr>
      <w:r>
        <w:t xml:space="preserve">BRACCI, A. et al. </w:t>
      </w:r>
      <w:r w:rsidRPr="00B57BAB">
        <w:rPr>
          <w:lang w:val="en-US"/>
        </w:rPr>
        <w:t xml:space="preserve">Current Knowledge and Future Perspectives on Awake Bruxism Assessment: Expert Consensus Recommendations. </w:t>
      </w:r>
      <w:r w:rsidRPr="00B57BAB">
        <w:rPr>
          <w:b/>
          <w:bCs/>
          <w:lang w:val="en-US"/>
        </w:rPr>
        <w:t>Journal of Clinical Medicine</w:t>
      </w:r>
      <w:r w:rsidRPr="00B57BAB">
        <w:rPr>
          <w:lang w:val="en-US"/>
        </w:rPr>
        <w:t>, v. 11, n. 17, p. 5083, 2022.</w:t>
      </w:r>
    </w:p>
    <w:p w14:paraId="36BED947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KANDASAMY, S.; GREENE, C. S. The evolution of temporomandibular disorders: A shift from experience to evidence. </w:t>
      </w:r>
      <w:r w:rsidRPr="00B57BAB">
        <w:rPr>
          <w:b/>
          <w:bCs/>
          <w:lang w:val="en-US"/>
        </w:rPr>
        <w:t>Journal of Oral Pathology &amp; Medicine</w:t>
      </w:r>
      <w:r w:rsidRPr="00B57BAB">
        <w:rPr>
          <w:lang w:val="en-US"/>
        </w:rPr>
        <w:t>, v. 49, n. 6, p. 461–469, 2020.</w:t>
      </w:r>
    </w:p>
    <w:p w14:paraId="52A25614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KAPOS, F. P. et al. Temporomandibular disorders: a review of current concepts in </w:t>
      </w:r>
      <w:proofErr w:type="spellStart"/>
      <w:r w:rsidRPr="00B57BAB">
        <w:rPr>
          <w:lang w:val="en-US"/>
        </w:rPr>
        <w:t>aetiology</w:t>
      </w:r>
      <w:proofErr w:type="spellEnd"/>
      <w:r w:rsidRPr="00B57BAB">
        <w:rPr>
          <w:lang w:val="en-US"/>
        </w:rPr>
        <w:t xml:space="preserve">, diagnosis and management. </w:t>
      </w:r>
      <w:r w:rsidRPr="00B57BAB">
        <w:rPr>
          <w:b/>
          <w:bCs/>
          <w:lang w:val="en-US"/>
        </w:rPr>
        <w:t>Oral Surgery</w:t>
      </w:r>
      <w:r w:rsidRPr="00B57BAB">
        <w:rPr>
          <w:lang w:val="en-US"/>
        </w:rPr>
        <w:t>, v. 13, n. 4, p. 321–334, 2020.</w:t>
      </w:r>
    </w:p>
    <w:p w14:paraId="38CD1C93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LOBBEZOO, F. et al. International consensus on the assessment of bruxism: report of a work in progress. </w:t>
      </w:r>
      <w:r w:rsidRPr="00B57BAB">
        <w:rPr>
          <w:b/>
          <w:bCs/>
          <w:lang w:val="en-US"/>
        </w:rPr>
        <w:t>Journal of Oral Rehabilitation</w:t>
      </w:r>
      <w:r w:rsidRPr="00B57BAB">
        <w:rPr>
          <w:lang w:val="en-US"/>
        </w:rPr>
        <w:t>, v. 45, n. 11, p. 837–844, 2018.</w:t>
      </w:r>
    </w:p>
    <w:p w14:paraId="2FCE0F0A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MANFREDINI, D. et al. </w:t>
      </w:r>
      <w:proofErr w:type="spellStart"/>
      <w:r w:rsidRPr="00B57BAB">
        <w:rPr>
          <w:lang w:val="en-US"/>
        </w:rPr>
        <w:t>Standardised</w:t>
      </w:r>
      <w:proofErr w:type="spellEnd"/>
      <w:r w:rsidRPr="00B57BAB">
        <w:rPr>
          <w:lang w:val="en-US"/>
        </w:rPr>
        <w:t xml:space="preserve"> Tool for the Assessment of Bruxism (STAB). </w:t>
      </w:r>
      <w:r w:rsidRPr="00B57BAB">
        <w:rPr>
          <w:b/>
          <w:bCs/>
          <w:lang w:val="en-US"/>
        </w:rPr>
        <w:t>Journal of Oral Rehabilitation</w:t>
      </w:r>
      <w:r w:rsidRPr="00B57BAB">
        <w:rPr>
          <w:lang w:val="en-US"/>
        </w:rPr>
        <w:t>, v. 51, n. 1, p. 29–58, 2024.</w:t>
      </w:r>
    </w:p>
    <w:p w14:paraId="0F23D218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MINAKUCHI, H. et al. Managements of sleep bruxism in adult: A systematic review. </w:t>
      </w:r>
      <w:r w:rsidRPr="00B57BAB">
        <w:rPr>
          <w:b/>
          <w:bCs/>
          <w:lang w:val="en-US"/>
        </w:rPr>
        <w:t>Japanese Dental Science Review</w:t>
      </w:r>
      <w:r w:rsidRPr="00B57BAB">
        <w:rPr>
          <w:lang w:val="en-US"/>
        </w:rPr>
        <w:t>, v. 58, p. 124–136, 2022.</w:t>
      </w:r>
    </w:p>
    <w:p w14:paraId="6C3FA5ED" w14:textId="77777777" w:rsidR="00093E1E" w:rsidRDefault="00975035" w:rsidP="0062349D">
      <w:pPr>
        <w:spacing w:line="360" w:lineRule="auto"/>
      </w:pPr>
      <w:r w:rsidRPr="00B57BAB">
        <w:rPr>
          <w:lang w:val="en-US"/>
        </w:rPr>
        <w:t xml:space="preserve">MIRANDA, J. S.; BONATO, L. L.; TESCH, R. de S. COVID-19 and Painful Temporomandibular Disorders: what does the dentist need to know? </w:t>
      </w:r>
      <w:r>
        <w:rPr>
          <w:b/>
          <w:bCs/>
        </w:rPr>
        <w:t>RGO – Revista Gaúcha de Odontologia</w:t>
      </w:r>
      <w:r>
        <w:t>, v. 69, 2021.</w:t>
      </w:r>
    </w:p>
    <w:p w14:paraId="60CD72AD" w14:textId="77777777" w:rsidR="00093E1E" w:rsidRPr="00B57BAB" w:rsidRDefault="00975035" w:rsidP="0062349D">
      <w:pPr>
        <w:spacing w:line="360" w:lineRule="auto"/>
        <w:rPr>
          <w:lang w:val="en-US"/>
        </w:rPr>
      </w:pPr>
      <w:r>
        <w:t xml:space="preserve">OHRBACH, R. et al. </w:t>
      </w:r>
      <w:r w:rsidRPr="00B57BAB">
        <w:rPr>
          <w:lang w:val="en-US"/>
        </w:rPr>
        <w:t xml:space="preserve">Clinical findings and pain symptoms as potential risk factors for chronic TMD: descriptive data and empirically identified domains from the OPPERA case-control study. </w:t>
      </w:r>
      <w:r w:rsidRPr="00B57BAB">
        <w:rPr>
          <w:b/>
          <w:bCs/>
          <w:lang w:val="en-US"/>
        </w:rPr>
        <w:t>The Journal of Pain</w:t>
      </w:r>
      <w:r w:rsidRPr="00B57BAB">
        <w:rPr>
          <w:lang w:val="en-US"/>
        </w:rPr>
        <w:t>, v. 12, n. 11, p. T27–T45, 2011.</w:t>
      </w:r>
    </w:p>
    <w:p w14:paraId="44B5412C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OKESON, J. P.; DE LEEUW, R. Differential diagnosis of temporomandibular disorders and other orofacial pain disorders. </w:t>
      </w:r>
      <w:r w:rsidRPr="00B57BAB">
        <w:rPr>
          <w:b/>
          <w:bCs/>
          <w:lang w:val="en-US"/>
        </w:rPr>
        <w:t>Dental Clinics of North America</w:t>
      </w:r>
      <w:r w:rsidRPr="00B57BAB">
        <w:rPr>
          <w:lang w:val="en-US"/>
        </w:rPr>
        <w:t>, v. 55, n. 1, p. 105–120, 2011.</w:t>
      </w:r>
    </w:p>
    <w:p w14:paraId="78920528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SCHIFFMAN, E. et al. Diagnostic Criteria for Temporomandibular Disorders (DC/TMD) for Clinical and Research Applications: Recommendations of the International RDC/TMD Consortium Network and Orofacial Pain Special Interest Group. </w:t>
      </w:r>
      <w:r w:rsidRPr="00B57BAB">
        <w:rPr>
          <w:b/>
          <w:bCs/>
          <w:lang w:val="en-US"/>
        </w:rPr>
        <w:t>Journal of Oral &amp; Facial Pain and Headache</w:t>
      </w:r>
      <w:r w:rsidRPr="00B57BAB">
        <w:rPr>
          <w:lang w:val="en-US"/>
        </w:rPr>
        <w:t>, v. 28, n. 1, p. 6–27, 2014.</w:t>
      </w:r>
    </w:p>
    <w:p w14:paraId="14DCB703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SLADE, G. D. et al. Painful temporomandibular disorder: Decade of discovery from OPPERA studies. </w:t>
      </w:r>
      <w:r w:rsidRPr="00B57BAB">
        <w:rPr>
          <w:b/>
          <w:bCs/>
          <w:lang w:val="en-US"/>
        </w:rPr>
        <w:t>Journal of Dental Research</w:t>
      </w:r>
      <w:r w:rsidRPr="00B57BAB">
        <w:rPr>
          <w:lang w:val="en-US"/>
        </w:rPr>
        <w:t>, v. 95, n. 10, p. 1084–1092, 2016.</w:t>
      </w:r>
    </w:p>
    <w:p w14:paraId="72659BB8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VERHOEFF, M. C. et al. Updating the Bruxism Definitions: Report of an International Consensus Meeting. </w:t>
      </w:r>
      <w:r w:rsidRPr="00B57BAB">
        <w:rPr>
          <w:b/>
          <w:bCs/>
          <w:lang w:val="en-US"/>
        </w:rPr>
        <w:t>Journal of Oral Rehabilitation</w:t>
      </w:r>
      <w:r w:rsidRPr="00B57BAB">
        <w:rPr>
          <w:lang w:val="en-US"/>
        </w:rPr>
        <w:t>, v. 52, n. 11, p. 1335–1342, 2025.</w:t>
      </w:r>
    </w:p>
    <w:p w14:paraId="3F13D36F" w14:textId="77777777" w:rsidR="00093E1E" w:rsidRPr="00B57BAB" w:rsidRDefault="00975035" w:rsidP="0062349D">
      <w:pPr>
        <w:spacing w:line="360" w:lineRule="auto"/>
        <w:rPr>
          <w:lang w:val="en-US"/>
        </w:rPr>
      </w:pPr>
      <w:r w:rsidRPr="00B57BAB">
        <w:rPr>
          <w:lang w:val="en-US"/>
        </w:rPr>
        <w:t xml:space="preserve">YAO, L. et al. Management of chronic pain secondary to temporomandibular disorders: a systematic review and network meta-analysis of </w:t>
      </w:r>
      <w:proofErr w:type="spellStart"/>
      <w:r w:rsidRPr="00B57BAB">
        <w:rPr>
          <w:lang w:val="en-US"/>
        </w:rPr>
        <w:t>randomised</w:t>
      </w:r>
      <w:proofErr w:type="spellEnd"/>
      <w:r w:rsidRPr="00B57BAB">
        <w:rPr>
          <w:lang w:val="en-US"/>
        </w:rPr>
        <w:t xml:space="preserve"> trials. </w:t>
      </w:r>
      <w:r w:rsidRPr="00B57BAB">
        <w:rPr>
          <w:b/>
          <w:bCs/>
          <w:lang w:val="en-US"/>
        </w:rPr>
        <w:t>BMJ</w:t>
      </w:r>
      <w:r w:rsidRPr="00B57BAB">
        <w:rPr>
          <w:lang w:val="en-US"/>
        </w:rPr>
        <w:t>, v. 383, p. e076226, 2023.</w:t>
      </w:r>
    </w:p>
    <w:p w14:paraId="76A3313F" w14:textId="77777777" w:rsidR="00093E1E" w:rsidRDefault="00975035" w:rsidP="0062349D">
      <w:pPr>
        <w:spacing w:line="360" w:lineRule="auto"/>
      </w:pPr>
      <w:r w:rsidRPr="00B57BAB">
        <w:rPr>
          <w:lang w:val="en-US"/>
        </w:rPr>
        <w:t xml:space="preserve">YAP, A.-U. et al. Functional, physical and psychosocial impact of Temporomandibular Disorders in adolescents and young adults. </w:t>
      </w:r>
      <w:r>
        <w:rPr>
          <w:b/>
          <w:bCs/>
        </w:rPr>
        <w:t>Medicina Oral, Patología Oral y Cirugía Bucal</w:t>
      </w:r>
      <w:r>
        <w:t>, v. 25, n. 2, p. e188–e194, 2020.</w:t>
      </w:r>
    </w:p>
    <w:sectPr w:rsidR="00093E1E" w:rsidSect="0062349D">
      <w:pgSz w:w="11906" w:h="16838"/>
      <w:pgMar w:top="1135" w:right="1134" w:bottom="1418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904E2" w14:textId="77777777" w:rsidR="00907582" w:rsidRDefault="00907582" w:rsidP="00C65EEF">
      <w:r>
        <w:separator/>
      </w:r>
    </w:p>
  </w:endnote>
  <w:endnote w:type="continuationSeparator" w:id="0">
    <w:p w14:paraId="31248F42" w14:textId="77777777" w:rsidR="00907582" w:rsidRDefault="00907582" w:rsidP="00C6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26390" w14:textId="77777777" w:rsidR="00907582" w:rsidRDefault="00907582" w:rsidP="00C65EEF">
      <w:r>
        <w:separator/>
      </w:r>
    </w:p>
  </w:footnote>
  <w:footnote w:type="continuationSeparator" w:id="0">
    <w:p w14:paraId="46ACCBD7" w14:textId="77777777" w:rsidR="00907582" w:rsidRDefault="00907582" w:rsidP="00C65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923D07"/>
    <w:multiLevelType w:val="hybridMultilevel"/>
    <w:tmpl w:val="05248D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023C6"/>
    <w:multiLevelType w:val="hybridMultilevel"/>
    <w:tmpl w:val="F9942AB8"/>
    <w:lvl w:ilvl="0" w:tplc="394A23F8">
      <w:start w:val="1"/>
      <w:numFmt w:val="bullet"/>
      <w:lvlText w:val="●"/>
      <w:lvlJc w:val="left"/>
      <w:pPr>
        <w:ind w:left="720" w:hanging="360"/>
      </w:pPr>
    </w:lvl>
    <w:lvl w:ilvl="1" w:tplc="29ECB15E">
      <w:start w:val="1"/>
      <w:numFmt w:val="bullet"/>
      <w:lvlText w:val="○"/>
      <w:lvlJc w:val="left"/>
      <w:pPr>
        <w:ind w:left="1440" w:hanging="360"/>
      </w:pPr>
    </w:lvl>
    <w:lvl w:ilvl="2" w:tplc="DCC87440">
      <w:start w:val="1"/>
      <w:numFmt w:val="bullet"/>
      <w:lvlText w:val="■"/>
      <w:lvlJc w:val="left"/>
      <w:pPr>
        <w:ind w:left="2160" w:hanging="360"/>
      </w:pPr>
    </w:lvl>
    <w:lvl w:ilvl="3" w:tplc="1F16E652">
      <w:start w:val="1"/>
      <w:numFmt w:val="bullet"/>
      <w:lvlText w:val="●"/>
      <w:lvlJc w:val="left"/>
      <w:pPr>
        <w:ind w:left="2880" w:hanging="360"/>
      </w:pPr>
    </w:lvl>
    <w:lvl w:ilvl="4" w:tplc="9EC8FA0A">
      <w:start w:val="1"/>
      <w:numFmt w:val="bullet"/>
      <w:lvlText w:val="○"/>
      <w:lvlJc w:val="left"/>
      <w:pPr>
        <w:ind w:left="3600" w:hanging="360"/>
      </w:pPr>
    </w:lvl>
    <w:lvl w:ilvl="5" w:tplc="0FF23960">
      <w:start w:val="1"/>
      <w:numFmt w:val="bullet"/>
      <w:lvlText w:val="■"/>
      <w:lvlJc w:val="left"/>
      <w:pPr>
        <w:ind w:left="4320" w:hanging="360"/>
      </w:pPr>
    </w:lvl>
    <w:lvl w:ilvl="6" w:tplc="9DE4B1CC">
      <w:start w:val="1"/>
      <w:numFmt w:val="bullet"/>
      <w:lvlText w:val="●"/>
      <w:lvlJc w:val="left"/>
      <w:pPr>
        <w:ind w:left="5040" w:hanging="360"/>
      </w:pPr>
    </w:lvl>
    <w:lvl w:ilvl="7" w:tplc="81C297E2">
      <w:start w:val="1"/>
      <w:numFmt w:val="bullet"/>
      <w:lvlText w:val="●"/>
      <w:lvlJc w:val="left"/>
      <w:pPr>
        <w:ind w:left="5760" w:hanging="360"/>
      </w:pPr>
    </w:lvl>
    <w:lvl w:ilvl="8" w:tplc="5D7CC1C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1E"/>
    <w:rsid w:val="00093E1E"/>
    <w:rsid w:val="001C012B"/>
    <w:rsid w:val="001C7B0F"/>
    <w:rsid w:val="00234BE4"/>
    <w:rsid w:val="0025160E"/>
    <w:rsid w:val="003477AC"/>
    <w:rsid w:val="004262A7"/>
    <w:rsid w:val="005867D6"/>
    <w:rsid w:val="005C5BF9"/>
    <w:rsid w:val="005F159B"/>
    <w:rsid w:val="0062349D"/>
    <w:rsid w:val="0069040A"/>
    <w:rsid w:val="006F2982"/>
    <w:rsid w:val="00750CA6"/>
    <w:rsid w:val="007703B9"/>
    <w:rsid w:val="007B6F0A"/>
    <w:rsid w:val="007D5819"/>
    <w:rsid w:val="00907582"/>
    <w:rsid w:val="00975035"/>
    <w:rsid w:val="00A3746D"/>
    <w:rsid w:val="00AC6AFC"/>
    <w:rsid w:val="00B34F51"/>
    <w:rsid w:val="00B55715"/>
    <w:rsid w:val="00B57BAB"/>
    <w:rsid w:val="00C65EEF"/>
    <w:rsid w:val="00E02C2D"/>
    <w:rsid w:val="00E13FC6"/>
    <w:rsid w:val="00FD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C716"/>
  <w15:docId w15:val="{B327DB5F-D5B4-4AC6-B71F-C46F9C08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516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5160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5160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16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5160E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77A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77AC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234BE4"/>
  </w:style>
  <w:style w:type="paragraph" w:styleId="Cabealho">
    <w:name w:val="header"/>
    <w:basedOn w:val="Normal"/>
    <w:link w:val="CabealhoChar"/>
    <w:uiPriority w:val="99"/>
    <w:unhideWhenUsed/>
    <w:rsid w:val="00C65E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5EEF"/>
  </w:style>
  <w:style w:type="paragraph" w:styleId="Rodap">
    <w:name w:val="footer"/>
    <w:basedOn w:val="Normal"/>
    <w:link w:val="RodapChar"/>
    <w:uiPriority w:val="99"/>
    <w:unhideWhenUsed/>
    <w:rsid w:val="00C65E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5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2381</Words>
  <Characters>12862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Jean Soares Miranda</cp:lastModifiedBy>
  <cp:revision>4</cp:revision>
  <cp:lastPrinted>2026-10-14T13:18:00Z</cp:lastPrinted>
  <dcterms:created xsi:type="dcterms:W3CDTF">2026-10-14T13:18:00Z</dcterms:created>
  <dcterms:modified xsi:type="dcterms:W3CDTF">2026-10-14T13:21:00Z</dcterms:modified>
</cp:coreProperties>
</file>