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1A222" w14:textId="77777777" w:rsidR="00E73F25" w:rsidRPr="003A3119" w:rsidRDefault="00E73F25" w:rsidP="003A311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A3119">
        <w:rPr>
          <w:rFonts w:ascii="Arial" w:hAnsi="Arial" w:cs="Arial"/>
          <w:b/>
          <w:bCs/>
          <w:sz w:val="24"/>
          <w:szCs w:val="24"/>
        </w:rPr>
        <w:t xml:space="preserve">NEPI ATENDE – Atendimento ambulatorial em nutrição para adultos mais velhos e idosos </w:t>
      </w:r>
    </w:p>
    <w:p w14:paraId="27D6841B" w14:textId="77777777" w:rsidR="003A3119" w:rsidRPr="003A3119" w:rsidRDefault="003A3119" w:rsidP="00D738E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A3119">
        <w:rPr>
          <w:rFonts w:ascii="Arial" w:hAnsi="Arial" w:cs="Arial"/>
          <w:b/>
          <w:bCs/>
          <w:sz w:val="24"/>
          <w:szCs w:val="24"/>
        </w:rPr>
        <w:t>Área temática:</w:t>
      </w:r>
      <w:r w:rsidRPr="003A3119">
        <w:rPr>
          <w:rFonts w:ascii="Arial" w:hAnsi="Arial" w:cs="Arial"/>
          <w:sz w:val="24"/>
          <w:szCs w:val="24"/>
        </w:rPr>
        <w:t xml:space="preserve"> Saúde</w:t>
      </w:r>
    </w:p>
    <w:p w14:paraId="4211BC42" w14:textId="71E3DB92" w:rsidR="003A3119" w:rsidRPr="003A3119" w:rsidRDefault="003A3119" w:rsidP="00D738E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A3119">
        <w:rPr>
          <w:rFonts w:ascii="Arial" w:hAnsi="Arial" w:cs="Arial"/>
          <w:b/>
          <w:bCs/>
          <w:sz w:val="24"/>
          <w:szCs w:val="24"/>
        </w:rPr>
        <w:t>Unidade acadêmica:</w:t>
      </w:r>
      <w:r w:rsidRPr="003A3119">
        <w:rPr>
          <w:rFonts w:ascii="Arial" w:hAnsi="Arial" w:cs="Arial"/>
          <w:sz w:val="24"/>
          <w:szCs w:val="24"/>
        </w:rPr>
        <w:t xml:space="preserve"> Nutrição – Campus Governador Valadares</w:t>
      </w:r>
    </w:p>
    <w:p w14:paraId="5CFD071C" w14:textId="427E4875" w:rsidR="00E73F25" w:rsidRPr="003A3119" w:rsidRDefault="00E73F25" w:rsidP="003A3119">
      <w:pPr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3A3119">
        <w:rPr>
          <w:rFonts w:ascii="Arial" w:hAnsi="Arial" w:cs="Arial"/>
          <w:sz w:val="24"/>
          <w:szCs w:val="24"/>
        </w:rPr>
        <w:t>Camila Costa Drumond</w:t>
      </w:r>
      <w:r w:rsidR="00EF0336">
        <w:rPr>
          <w:rFonts w:ascii="Arial" w:hAnsi="Arial" w:cs="Arial"/>
          <w:sz w:val="24"/>
          <w:szCs w:val="24"/>
        </w:rPr>
        <w:t xml:space="preserve"> (Bolsista)</w:t>
      </w:r>
      <w:r w:rsidRPr="003A3119">
        <w:rPr>
          <w:rFonts w:ascii="Arial" w:hAnsi="Arial" w:cs="Arial"/>
          <w:sz w:val="24"/>
          <w:szCs w:val="24"/>
        </w:rPr>
        <w:br/>
        <w:t>João Victor de Carvalho Ferreira (</w:t>
      </w:r>
      <w:r w:rsidR="00370BE4">
        <w:rPr>
          <w:rFonts w:ascii="Arial" w:hAnsi="Arial" w:cs="Arial"/>
          <w:sz w:val="24"/>
          <w:szCs w:val="24"/>
        </w:rPr>
        <w:t>Bolsista</w:t>
      </w:r>
      <w:r w:rsidRPr="003A3119">
        <w:rPr>
          <w:rFonts w:ascii="Arial" w:hAnsi="Arial" w:cs="Arial"/>
          <w:sz w:val="24"/>
          <w:szCs w:val="24"/>
        </w:rPr>
        <w:t xml:space="preserve">) </w:t>
      </w:r>
      <w:r w:rsidRPr="003A3119">
        <w:rPr>
          <w:rFonts w:ascii="Arial" w:hAnsi="Arial" w:cs="Arial"/>
          <w:sz w:val="24"/>
          <w:szCs w:val="24"/>
        </w:rPr>
        <w:br/>
      </w:r>
      <w:r w:rsidR="00370BE4" w:rsidRPr="00370BE4">
        <w:rPr>
          <w:rFonts w:ascii="Arial" w:hAnsi="Arial" w:cs="Arial"/>
          <w:sz w:val="24"/>
          <w:szCs w:val="24"/>
        </w:rPr>
        <w:t>Breno Filipe Teodoro Gouvêa</w:t>
      </w:r>
      <w:r w:rsidR="00370BE4" w:rsidRPr="00370BE4">
        <w:rPr>
          <w:rFonts w:ascii="Arial" w:hAnsi="Arial" w:cs="Arial"/>
          <w:sz w:val="24"/>
          <w:szCs w:val="24"/>
        </w:rPr>
        <w:t xml:space="preserve"> </w:t>
      </w:r>
      <w:r w:rsidRPr="003A3119">
        <w:rPr>
          <w:rFonts w:ascii="Arial" w:hAnsi="Arial" w:cs="Arial"/>
          <w:sz w:val="24"/>
          <w:szCs w:val="24"/>
        </w:rPr>
        <w:t xml:space="preserve">(Voluntário) </w:t>
      </w:r>
      <w:r w:rsidRPr="003A3119">
        <w:rPr>
          <w:rFonts w:ascii="Arial" w:hAnsi="Arial" w:cs="Arial"/>
          <w:sz w:val="24"/>
          <w:szCs w:val="24"/>
        </w:rPr>
        <w:br/>
        <w:t>Gisele Queiroz de Carvalho (</w:t>
      </w:r>
      <w:r w:rsidR="00EF0336">
        <w:rPr>
          <w:rFonts w:ascii="Arial" w:hAnsi="Arial" w:cs="Arial"/>
          <w:sz w:val="24"/>
          <w:szCs w:val="24"/>
        </w:rPr>
        <w:t>C</w:t>
      </w:r>
      <w:r w:rsidRPr="003A3119">
        <w:rPr>
          <w:rFonts w:ascii="Arial" w:hAnsi="Arial" w:cs="Arial"/>
          <w:sz w:val="24"/>
          <w:szCs w:val="24"/>
        </w:rPr>
        <w:t xml:space="preserve">olaboradora) </w:t>
      </w:r>
      <w:r w:rsidRPr="003A3119">
        <w:rPr>
          <w:rFonts w:ascii="Arial" w:hAnsi="Arial" w:cs="Arial"/>
          <w:sz w:val="24"/>
          <w:szCs w:val="24"/>
        </w:rPr>
        <w:br/>
        <w:t>Kellem Regina Rosendo Vincha (</w:t>
      </w:r>
      <w:r w:rsidR="00EF0336">
        <w:rPr>
          <w:rFonts w:ascii="Arial" w:hAnsi="Arial" w:cs="Arial"/>
          <w:sz w:val="24"/>
          <w:szCs w:val="24"/>
        </w:rPr>
        <w:t>C</w:t>
      </w:r>
      <w:r w:rsidRPr="003A3119">
        <w:rPr>
          <w:rFonts w:ascii="Arial" w:hAnsi="Arial" w:cs="Arial"/>
          <w:sz w:val="24"/>
          <w:szCs w:val="24"/>
        </w:rPr>
        <w:t xml:space="preserve">olaboradora) </w:t>
      </w:r>
      <w:r w:rsidRPr="003A3119">
        <w:rPr>
          <w:rFonts w:ascii="Arial" w:hAnsi="Arial" w:cs="Arial"/>
          <w:sz w:val="24"/>
          <w:szCs w:val="24"/>
        </w:rPr>
        <w:br/>
        <w:t>Clarice Lima Álvares da Silva (Coordenadora)</w:t>
      </w:r>
      <w:r w:rsidRPr="003A3119">
        <w:rPr>
          <w:rFonts w:ascii="Arial" w:hAnsi="Arial" w:cs="Arial"/>
          <w:sz w:val="24"/>
          <w:szCs w:val="24"/>
        </w:rPr>
        <w:br/>
      </w:r>
    </w:p>
    <w:p w14:paraId="00230165" w14:textId="77777777" w:rsidR="00D738E9" w:rsidRDefault="003A3119" w:rsidP="003A311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A3119">
        <w:rPr>
          <w:rFonts w:ascii="Arial" w:hAnsi="Arial" w:cs="Arial"/>
          <w:b/>
          <w:bCs/>
          <w:sz w:val="24"/>
          <w:szCs w:val="24"/>
        </w:rPr>
        <w:t>Resumo:</w:t>
      </w:r>
      <w:r w:rsidRPr="003A3119">
        <w:rPr>
          <w:rFonts w:ascii="Arial" w:hAnsi="Arial" w:cs="Arial"/>
          <w:b/>
          <w:bCs/>
          <w:sz w:val="24"/>
          <w:szCs w:val="24"/>
        </w:rPr>
        <w:br/>
      </w:r>
      <w:r w:rsidRPr="003A3119">
        <w:rPr>
          <w:rFonts w:ascii="Arial" w:hAnsi="Arial" w:cs="Arial"/>
          <w:sz w:val="24"/>
          <w:szCs w:val="24"/>
        </w:rPr>
        <w:t>A ocorrência de desvios nutricionais e DCNTs em adultos e idosos é uma realidade expressiva no Brasil, com impacto direto no processo de envelhecimento. No entanto, o envelhecimento feminino apresenta demandas específicas associadas ao climatério e à menopausa, com repercussões físicas e emocionais que impactam a qualidade de vida. Diante disso, o projeto ofereceu atendimento nutricional ambulatorial na Clínica Escola de Nutrição da UFJF-GV a indivíduos com 50 anos ou mais, com foco nas especificidades da saúde da mulher. O protocolo assistencial compreendeu: (1) atendimento individualizado, (2) diagnóstico nutricional, (3) pactuação de metas e objetivos alinhados aos anseios do paciente, (4) planejamento e prescrição dietoterápica, (5) acompanhamento longitudinal e (6) alta com encaminhamento para atividades coletivas do NEPI. No período, foram realizados 67 novos atendimentos, dos quais 85,1% correspondiam ao sexo feminino, com média de idade de 59,5 anos. Dentre as mulheres, 62,1% estavam na menopausa e 15,5% em transição/perimenopausa. As pacientes relataram um número mediano de 6 sintomas climatéricos, sendo os mais frequentes: ganho de peso, alterações na pele, fogachos, secura vaginal, alterações de humor,</w:t>
      </w:r>
      <w:r w:rsidR="009C7677">
        <w:rPr>
          <w:rFonts w:ascii="Arial" w:hAnsi="Arial" w:cs="Arial"/>
          <w:sz w:val="24"/>
          <w:szCs w:val="24"/>
        </w:rPr>
        <w:t xml:space="preserve"> e </w:t>
      </w:r>
      <w:r w:rsidRPr="003A3119">
        <w:rPr>
          <w:rFonts w:ascii="Arial" w:hAnsi="Arial" w:cs="Arial"/>
          <w:sz w:val="24"/>
          <w:szCs w:val="24"/>
        </w:rPr>
        <w:t>memória</w:t>
      </w:r>
      <w:r w:rsidR="009C7677">
        <w:rPr>
          <w:rFonts w:ascii="Arial" w:hAnsi="Arial" w:cs="Arial"/>
          <w:sz w:val="24"/>
          <w:szCs w:val="24"/>
        </w:rPr>
        <w:t>.</w:t>
      </w:r>
      <w:r w:rsidRPr="003A3119">
        <w:rPr>
          <w:rFonts w:ascii="Arial" w:hAnsi="Arial" w:cs="Arial"/>
          <w:sz w:val="24"/>
          <w:szCs w:val="24"/>
        </w:rPr>
        <w:t xml:space="preserve"> Os achados destacam a alta prevalência de manifestações do climatério no público atendido e reforçam a relevância da intervenção nutricional direcionada para a promoção da saúde, alívio sintomático e melhoria da qualidade de vida das mulheres em processo de envelhecimento na região.</w:t>
      </w:r>
      <w:r w:rsidR="00D738E9">
        <w:rPr>
          <w:rFonts w:ascii="Arial" w:hAnsi="Arial" w:cs="Arial"/>
          <w:sz w:val="24"/>
          <w:szCs w:val="24"/>
        </w:rPr>
        <w:t xml:space="preserve"> </w:t>
      </w:r>
    </w:p>
    <w:p w14:paraId="15D95D36" w14:textId="3D867715" w:rsidR="00D738E9" w:rsidRPr="003A3119" w:rsidRDefault="00D738E9" w:rsidP="003A311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Palavras-chave:</w:t>
      </w:r>
      <w:r w:rsidR="007934C7">
        <w:rPr>
          <w:rFonts w:ascii="Arial" w:hAnsi="Arial" w:cs="Arial"/>
          <w:sz w:val="24"/>
          <w:szCs w:val="24"/>
        </w:rPr>
        <w:t xml:space="preserve"> atendimento nutricional, cuidado, saúde da mulher, menopausa</w:t>
      </w:r>
      <w:r w:rsidR="009674E1">
        <w:rPr>
          <w:rFonts w:ascii="Arial" w:hAnsi="Arial" w:cs="Arial"/>
          <w:sz w:val="24"/>
          <w:szCs w:val="24"/>
        </w:rPr>
        <w:t>.</w:t>
      </w:r>
    </w:p>
    <w:sectPr w:rsidR="00D738E9" w:rsidRPr="003A31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F25"/>
    <w:rsid w:val="00022F3E"/>
    <w:rsid w:val="001A6CB8"/>
    <w:rsid w:val="00370BE4"/>
    <w:rsid w:val="003A3119"/>
    <w:rsid w:val="004357F2"/>
    <w:rsid w:val="00504364"/>
    <w:rsid w:val="00584073"/>
    <w:rsid w:val="00654983"/>
    <w:rsid w:val="007934C7"/>
    <w:rsid w:val="007A2151"/>
    <w:rsid w:val="009674E1"/>
    <w:rsid w:val="009C7677"/>
    <w:rsid w:val="00D738E9"/>
    <w:rsid w:val="00E55761"/>
    <w:rsid w:val="00E73F25"/>
    <w:rsid w:val="00EF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D5C38"/>
  <w15:chartTrackingRefBased/>
  <w15:docId w15:val="{847370B3-97D1-46AF-82BD-52E6384D9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3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73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73F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73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73F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73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73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73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73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73F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73F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73F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73F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73F2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73F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73F2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73F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73F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73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73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73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73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73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73F2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73F2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73F2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73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73F2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73F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317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camilacostadrumond@gmail.com</dc:creator>
  <cp:keywords/>
  <dc:description/>
  <cp:lastModifiedBy>Clarice Lima Álvares da Silva</cp:lastModifiedBy>
  <cp:revision>6</cp:revision>
  <dcterms:created xsi:type="dcterms:W3CDTF">2026-10-15T13:08:00Z</dcterms:created>
  <dcterms:modified xsi:type="dcterms:W3CDTF">2026-10-15T13:11:00Z</dcterms:modified>
</cp:coreProperties>
</file>